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A4318" w14:textId="77777777" w:rsidR="0022086B" w:rsidRPr="00C04C4B" w:rsidRDefault="0065443B">
      <w:pPr>
        <w:jc w:val="both"/>
        <w:rPr>
          <w:rFonts w:ascii="Garamond" w:eastAsia="Garamond" w:hAnsi="Garamond" w:cs="Garamond"/>
        </w:rPr>
      </w:pPr>
      <w:r w:rsidRPr="00C04C4B">
        <w:rPr>
          <w:rFonts w:ascii="Garamond" w:eastAsia="Garamond" w:hAnsi="Garamond" w:cs="Garamond"/>
          <w:noProof/>
        </w:rPr>
        <mc:AlternateContent>
          <mc:Choice Requires="wpg">
            <w:drawing>
              <wp:inline distT="0" distB="0" distL="0" distR="0" wp14:anchorId="0AC82351" wp14:editId="3AFF9027">
                <wp:extent cx="5946140" cy="182880"/>
                <wp:effectExtent l="0" t="0" r="0" b="0"/>
                <wp:docPr id="125" name="Grupo 125"/>
                <wp:cNvGraphicFramePr/>
                <a:graphic xmlns:a="http://schemas.openxmlformats.org/drawingml/2006/main">
                  <a:graphicData uri="http://schemas.microsoft.com/office/word/2010/wordprocessingGroup">
                    <wpg:wgp>
                      <wpg:cNvGrpSpPr/>
                      <wpg:grpSpPr>
                        <a:xfrm>
                          <a:off x="0" y="0"/>
                          <a:ext cx="5946140" cy="182880"/>
                          <a:chOff x="2372925" y="3688550"/>
                          <a:chExt cx="5946150" cy="182900"/>
                        </a:xfrm>
                      </wpg:grpSpPr>
                      <wpg:grpSp>
                        <wpg:cNvPr id="1" name="Grupo 1"/>
                        <wpg:cNvGrpSpPr/>
                        <wpg:grpSpPr>
                          <a:xfrm>
                            <a:off x="2372930" y="3688560"/>
                            <a:ext cx="5946140" cy="182880"/>
                            <a:chOff x="2372925" y="3688550"/>
                            <a:chExt cx="5946150" cy="182900"/>
                          </a:xfrm>
                        </wpg:grpSpPr>
                        <wps:wsp>
                          <wps:cNvPr id="2" name="Rectángulo 2"/>
                          <wps:cNvSpPr/>
                          <wps:spPr>
                            <a:xfrm>
                              <a:off x="2372925" y="3688550"/>
                              <a:ext cx="5946150" cy="182900"/>
                            </a:xfrm>
                            <a:prstGeom prst="rect">
                              <a:avLst/>
                            </a:prstGeom>
                            <a:noFill/>
                            <a:ln>
                              <a:noFill/>
                            </a:ln>
                          </wps:spPr>
                          <wps:txbx>
                            <w:txbxContent>
                              <w:p w14:paraId="078CE6DB" w14:textId="77777777" w:rsidR="0022086B" w:rsidRDefault="0022086B">
                                <w:pPr>
                                  <w:textDirection w:val="btLr"/>
                                </w:pPr>
                              </w:p>
                            </w:txbxContent>
                          </wps:txbx>
                          <wps:bodyPr spcFirstLastPara="1" wrap="square" lIns="91425" tIns="91425" rIns="91425" bIns="91425" anchor="ctr" anchorCtr="0">
                            <a:noAutofit/>
                          </wps:bodyPr>
                        </wps:wsp>
                        <wpg:grpSp>
                          <wpg:cNvPr id="3" name="Grupo 3"/>
                          <wpg:cNvGrpSpPr/>
                          <wpg:grpSpPr>
                            <a:xfrm>
                              <a:off x="2372930" y="3688560"/>
                              <a:ext cx="5946140" cy="182880"/>
                              <a:chOff x="0" y="0"/>
                              <a:chExt cx="5946140" cy="182880"/>
                            </a:xfrm>
                          </wpg:grpSpPr>
                          <wps:wsp>
                            <wps:cNvPr id="4" name="Rectángulo 4"/>
                            <wps:cNvSpPr/>
                            <wps:spPr>
                              <a:xfrm>
                                <a:off x="0" y="0"/>
                                <a:ext cx="5946125" cy="182875"/>
                              </a:xfrm>
                              <a:prstGeom prst="rect">
                                <a:avLst/>
                              </a:prstGeom>
                              <a:noFill/>
                              <a:ln>
                                <a:noFill/>
                              </a:ln>
                            </wps:spPr>
                            <wps:txbx>
                              <w:txbxContent>
                                <w:p w14:paraId="4A8D48E3" w14:textId="77777777" w:rsidR="0022086B" w:rsidRDefault="0022086B">
                                  <w:pPr>
                                    <w:textDirection w:val="btLr"/>
                                  </w:pPr>
                                </w:p>
                              </w:txbxContent>
                            </wps:txbx>
                            <wps:bodyPr spcFirstLastPara="1" wrap="square" lIns="91425" tIns="91425" rIns="91425" bIns="91425" anchor="ctr" anchorCtr="0">
                              <a:noAutofit/>
                            </wps:bodyPr>
                          </wps:wsp>
                          <wps:wsp>
                            <wps:cNvPr id="5" name="Forma libre: forma 5"/>
                            <wps:cNvSpPr/>
                            <wps:spPr>
                              <a:xfrm>
                                <a:off x="5080" y="5080"/>
                                <a:ext cx="5932805" cy="172720"/>
                              </a:xfrm>
                              <a:custGeom>
                                <a:avLst/>
                                <a:gdLst/>
                                <a:ahLst/>
                                <a:cxnLst/>
                                <a:rect l="l" t="t" r="r" b="b"/>
                                <a:pathLst>
                                  <a:path w="5932805" h="172720" extrusionOk="0">
                                    <a:moveTo>
                                      <a:pt x="5932804" y="0"/>
                                    </a:moveTo>
                                    <a:lnTo>
                                      <a:pt x="0" y="0"/>
                                    </a:lnTo>
                                    <a:lnTo>
                                      <a:pt x="0" y="172720"/>
                                    </a:lnTo>
                                    <a:lnTo>
                                      <a:pt x="5932804" y="172720"/>
                                    </a:lnTo>
                                    <a:lnTo>
                                      <a:pt x="5932804" y="0"/>
                                    </a:lnTo>
                                    <a:close/>
                                  </a:path>
                                </a:pathLst>
                              </a:custGeom>
                              <a:solidFill>
                                <a:srgbClr val="DFDFDF"/>
                              </a:solidFill>
                              <a:ln>
                                <a:noFill/>
                              </a:ln>
                            </wps:spPr>
                            <wps:bodyPr spcFirstLastPara="1" wrap="square" lIns="91425" tIns="91425" rIns="91425" bIns="91425" anchor="ctr" anchorCtr="0">
                              <a:noAutofit/>
                            </wps:bodyPr>
                          </wps:wsp>
                          <wps:wsp>
                            <wps:cNvPr id="6" name="Forma libre: forma 6"/>
                            <wps:cNvSpPr/>
                            <wps:spPr>
                              <a:xfrm>
                                <a:off x="0" y="0"/>
                                <a:ext cx="5940425" cy="7620"/>
                              </a:xfrm>
                              <a:custGeom>
                                <a:avLst/>
                                <a:gdLst/>
                                <a:ahLst/>
                                <a:cxnLst/>
                                <a:rect l="l" t="t" r="r" b="b"/>
                                <a:pathLst>
                                  <a:path w="5940425" h="7620" extrusionOk="0">
                                    <a:moveTo>
                                      <a:pt x="5940425" y="12"/>
                                    </a:moveTo>
                                    <a:lnTo>
                                      <a:pt x="5080" y="12"/>
                                    </a:lnTo>
                                    <a:lnTo>
                                      <a:pt x="0" y="0"/>
                                    </a:lnTo>
                                    <a:lnTo>
                                      <a:pt x="0" y="5080"/>
                                    </a:lnTo>
                                    <a:lnTo>
                                      <a:pt x="0" y="7620"/>
                                    </a:lnTo>
                                    <a:lnTo>
                                      <a:pt x="5080" y="7620"/>
                                    </a:lnTo>
                                    <a:lnTo>
                                      <a:pt x="5080" y="5080"/>
                                    </a:lnTo>
                                    <a:lnTo>
                                      <a:pt x="5940425" y="5080"/>
                                    </a:lnTo>
                                    <a:lnTo>
                                      <a:pt x="5940425" y="12"/>
                                    </a:lnTo>
                                    <a:close/>
                                  </a:path>
                                </a:pathLst>
                              </a:custGeom>
                              <a:solidFill>
                                <a:srgbClr val="000000"/>
                              </a:solidFill>
                              <a:ln>
                                <a:noFill/>
                              </a:ln>
                            </wps:spPr>
                            <wps:bodyPr spcFirstLastPara="1" wrap="square" lIns="91425" tIns="91425" rIns="91425" bIns="91425" anchor="ctr" anchorCtr="0">
                              <a:noAutofit/>
                            </wps:bodyPr>
                          </wps:wsp>
                          <wps:wsp>
                            <wps:cNvPr id="7" name="Forma libre: forma 7"/>
                            <wps:cNvSpPr/>
                            <wps:spPr>
                              <a:xfrm>
                                <a:off x="5080" y="5080"/>
                                <a:ext cx="5935345" cy="2540"/>
                              </a:xfrm>
                              <a:custGeom>
                                <a:avLst/>
                                <a:gdLst/>
                                <a:ahLst/>
                                <a:cxnLst/>
                                <a:rect l="l" t="t" r="r" b="b"/>
                                <a:pathLst>
                                  <a:path w="5935345" h="2540" extrusionOk="0">
                                    <a:moveTo>
                                      <a:pt x="5935345" y="0"/>
                                    </a:moveTo>
                                    <a:lnTo>
                                      <a:pt x="0" y="0"/>
                                    </a:lnTo>
                                    <a:lnTo>
                                      <a:pt x="0" y="2540"/>
                                    </a:lnTo>
                                    <a:lnTo>
                                      <a:pt x="5935345" y="2540"/>
                                    </a:lnTo>
                                    <a:lnTo>
                                      <a:pt x="5935345" y="0"/>
                                    </a:lnTo>
                                    <a:close/>
                                  </a:path>
                                </a:pathLst>
                              </a:custGeom>
                              <a:solidFill>
                                <a:srgbClr val="DFDFDF"/>
                              </a:solidFill>
                              <a:ln>
                                <a:noFill/>
                              </a:ln>
                            </wps:spPr>
                            <wps:bodyPr spcFirstLastPara="1" wrap="square" lIns="91425" tIns="91425" rIns="91425" bIns="91425" anchor="ctr" anchorCtr="0">
                              <a:noAutofit/>
                            </wps:bodyPr>
                          </wps:wsp>
                          <wps:wsp>
                            <wps:cNvPr id="8" name="Forma libre: forma 8"/>
                            <wps:cNvSpPr/>
                            <wps:spPr>
                              <a:xfrm>
                                <a:off x="0" y="0"/>
                                <a:ext cx="5946140" cy="182880"/>
                              </a:xfrm>
                              <a:custGeom>
                                <a:avLst/>
                                <a:gdLst/>
                                <a:ahLst/>
                                <a:cxnLst/>
                                <a:rect l="l" t="t" r="r" b="b"/>
                                <a:pathLst>
                                  <a:path w="5946140" h="182880" extrusionOk="0">
                                    <a:moveTo>
                                      <a:pt x="5080" y="7620"/>
                                    </a:moveTo>
                                    <a:lnTo>
                                      <a:pt x="0" y="7620"/>
                                    </a:lnTo>
                                    <a:lnTo>
                                      <a:pt x="0" y="177800"/>
                                    </a:lnTo>
                                    <a:lnTo>
                                      <a:pt x="5080" y="177800"/>
                                    </a:lnTo>
                                    <a:lnTo>
                                      <a:pt x="5080" y="7620"/>
                                    </a:lnTo>
                                    <a:close/>
                                  </a:path>
                                  <a:path w="5946140" h="182880" extrusionOk="0">
                                    <a:moveTo>
                                      <a:pt x="5940425" y="177812"/>
                                    </a:moveTo>
                                    <a:lnTo>
                                      <a:pt x="5080" y="177812"/>
                                    </a:lnTo>
                                    <a:lnTo>
                                      <a:pt x="0" y="177812"/>
                                    </a:lnTo>
                                    <a:lnTo>
                                      <a:pt x="0" y="182880"/>
                                    </a:lnTo>
                                    <a:lnTo>
                                      <a:pt x="5080" y="182880"/>
                                    </a:lnTo>
                                    <a:lnTo>
                                      <a:pt x="5940425" y="182880"/>
                                    </a:lnTo>
                                    <a:lnTo>
                                      <a:pt x="5940425" y="177812"/>
                                    </a:lnTo>
                                    <a:close/>
                                  </a:path>
                                  <a:path w="5946140" h="182880" extrusionOk="0">
                                    <a:moveTo>
                                      <a:pt x="5945556" y="177812"/>
                                    </a:moveTo>
                                    <a:lnTo>
                                      <a:pt x="5940488" y="177812"/>
                                    </a:lnTo>
                                    <a:lnTo>
                                      <a:pt x="5940488" y="182880"/>
                                    </a:lnTo>
                                    <a:lnTo>
                                      <a:pt x="5945556" y="182880"/>
                                    </a:lnTo>
                                    <a:lnTo>
                                      <a:pt x="5945556" y="177812"/>
                                    </a:lnTo>
                                    <a:close/>
                                  </a:path>
                                  <a:path w="5946140" h="182880" extrusionOk="0">
                                    <a:moveTo>
                                      <a:pt x="5945556" y="0"/>
                                    </a:moveTo>
                                    <a:lnTo>
                                      <a:pt x="5940488" y="0"/>
                                    </a:lnTo>
                                    <a:lnTo>
                                      <a:pt x="5940488" y="5080"/>
                                    </a:lnTo>
                                    <a:lnTo>
                                      <a:pt x="5940488" y="7620"/>
                                    </a:lnTo>
                                    <a:lnTo>
                                      <a:pt x="5940488" y="177800"/>
                                    </a:lnTo>
                                    <a:lnTo>
                                      <a:pt x="5945556" y="177800"/>
                                    </a:lnTo>
                                    <a:lnTo>
                                      <a:pt x="5945556" y="7620"/>
                                    </a:lnTo>
                                    <a:lnTo>
                                      <a:pt x="5945556" y="5080"/>
                                    </a:lnTo>
                                    <a:lnTo>
                                      <a:pt x="5945556" y="12"/>
                                    </a:lnTo>
                                    <a:close/>
                                  </a:path>
                                </a:pathLst>
                              </a:custGeom>
                              <a:solidFill>
                                <a:srgbClr val="000000"/>
                              </a:solidFill>
                              <a:ln>
                                <a:noFill/>
                              </a:ln>
                            </wps:spPr>
                            <wps:bodyPr spcFirstLastPara="1" wrap="square" lIns="91425" tIns="91425" rIns="91425" bIns="91425" anchor="ctr" anchorCtr="0">
                              <a:noAutofit/>
                            </wps:bodyPr>
                          </wps:wsp>
                          <wps:wsp>
                            <wps:cNvPr id="9" name="Rectángulo 9"/>
                            <wps:cNvSpPr/>
                            <wps:spPr>
                              <a:xfrm>
                                <a:off x="5080" y="7620"/>
                                <a:ext cx="5935980" cy="170180"/>
                              </a:xfrm>
                              <a:prstGeom prst="rect">
                                <a:avLst/>
                              </a:prstGeom>
                              <a:noFill/>
                              <a:ln>
                                <a:noFill/>
                              </a:ln>
                            </wps:spPr>
                            <wps:txbx>
                              <w:txbxContent>
                                <w:p w14:paraId="01DA90F9" w14:textId="77777777" w:rsidR="0022086B" w:rsidRDefault="0065443B">
                                  <w:pPr>
                                    <w:spacing w:line="255" w:lineRule="auto"/>
                                    <w:ind w:left="103" w:firstLine="206"/>
                                    <w:textDirection w:val="btLr"/>
                                  </w:pPr>
                                  <w:r>
                                    <w:rPr>
                                      <w:b/>
                                      <w:color w:val="000000"/>
                                      <w:sz w:val="24"/>
                                    </w:rPr>
                                    <w:t>1. DESCRIPCIÓN DE LA NECESIDAD</w:t>
                                  </w:r>
                                </w:p>
                              </w:txbxContent>
                            </wps:txbx>
                            <wps:bodyPr spcFirstLastPara="1" wrap="square" lIns="0" tIns="0" rIns="0" bIns="0" anchor="t" anchorCtr="0">
                              <a:noAutofit/>
                            </wps:bodyPr>
                          </wps:wsp>
                        </wpg:grpSp>
                      </wpg:grpSp>
                    </wpg:wgp>
                  </a:graphicData>
                </a:graphic>
              </wp:inline>
            </w:drawing>
          </mc:Choice>
          <mc:Fallback>
            <w:pict>
              <v:group w14:anchorId="0AC82351" id="Grupo 125" o:spid="_x0000_s1026" style="width:468.2pt;height:14.4pt;mso-position-horizontal-relative:char;mso-position-vertical-relative:line" coordorigin="23729,36885" coordsize="59461,1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">
                <v:group id="Grupo 1" o:spid="_x0000_s1027" style="position:absolute;left:23729;top:36885;width:59461;height:1829" coordorigin="23729,36885" coordsize="59461,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ángulo 2" o:spid="_x0000_s1028" style="position:absolute;left:23729;top:36885;width:5946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078CE6DB" w14:textId="77777777" w:rsidR="0022086B" w:rsidRDefault="0022086B">
                          <w:pPr>
                            <w:textDirection w:val="btLr"/>
                          </w:pPr>
                        </w:p>
                      </w:txbxContent>
                    </v:textbox>
                  </v:rect>
                  <v:group id="Grupo 3" o:spid="_x0000_s1029" style="position:absolute;left:23729;top:36885;width:59461;height:1829" coordsize="59461,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ángulo 4" o:spid="_x0000_s1030" style="position:absolute;width:59461;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4A8D48E3" w14:textId="77777777" w:rsidR="0022086B" w:rsidRDefault="0022086B">
                            <w:pPr>
                              <w:textDirection w:val="btLr"/>
                            </w:pPr>
                          </w:p>
                        </w:txbxContent>
                      </v:textbox>
                    </v:rect>
                    <v:shape id="Forma libre: forma 5" o:spid="_x0000_s1031" style="position:absolute;left:50;top:50;width:59328;height:1728;visibility:visible;mso-wrap-style:square;v-text-anchor:middle" coordsize="5932805,17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" path="m5932804,l,,,172720r5932804,l5932804,xe" fillcolor="#dfdfdf" stroked="f">
                      <v:path arrowok="t" o:extrusionok="f"/>
                    </v:shape>
                    <v:shape id="Forma libre: forma 6" o:spid="_x0000_s1032" style="position:absolute;width:59404;height:76;visibility:visible;mso-wrap-style:square;v-text-anchor:middle" coordsize="594042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" path="m5940425,12l5080,12,,,,5080,,7620r5080,l5080,5080r5935345,l5940425,12xe" fillcolor="black" stroked="f">
                      <v:path arrowok="t" o:extrusionok="f"/>
                    </v:shape>
                    <v:shape id="Forma libre: forma 7" o:spid="_x0000_s1033" style="position:absolute;left:50;top:50;width:59354;height:26;visibility:visible;mso-wrap-style:square;v-text-anchor:middle" coordsize="5935345,2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" path="m5935345,l,,,2540r5935345,l5935345,xe" fillcolor="#dfdfdf" stroked="f">
                      <v:path arrowok="t" o:extrusionok="f"/>
                    </v:shape>
                    <v:shape id="Forma libre: forma 8" o:spid="_x0000_s1034" style="position:absolute;width:59461;height:1828;visibility:visible;mso-wrap-style:square;v-text-anchor:middle" coordsize="5946140,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" path="m5080,7620l,7620,,177800r5080,l5080,7620xem5940425,177812r-5935345,l,177812r,5068l5080,182880r5935345,l5940425,177812xem5945556,177812r-5068,l5940488,182880r5068,l5945556,177812xem5945556,r-5068,l5940488,5080r,2540l5940488,177800r5068,l5945556,7620r,-2540l5945556,12r,-12xe" fillcolor="black" stroked="f">
                      <v:path arrowok="t" o:extrusionok="f"/>
                    </v:shape>
                    <v:rect id="Rectángulo 9" o:spid="_x0000_s1035" style="position:absolute;left:50;top:76;width:59360;height:1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01DA90F9" w14:textId="77777777" w:rsidR="0022086B" w:rsidRDefault="0065443B">
                            <w:pPr>
                              <w:spacing w:line="255" w:lineRule="auto"/>
                              <w:ind w:left="103" w:firstLine="206"/>
                              <w:textDirection w:val="btLr"/>
                            </w:pPr>
                            <w:r>
                              <w:rPr>
                                <w:b/>
                                <w:color w:val="000000"/>
                                <w:sz w:val="24"/>
                              </w:rPr>
                              <w:t>1. DESCRIPCIÓN DE LA NECESIDAD</w:t>
                            </w:r>
                          </w:p>
                        </w:txbxContent>
                      </v:textbox>
                    </v:rect>
                  </v:group>
                </v:group>
                <w10:anchorlock/>
              </v:group>
            </w:pict>
          </mc:Fallback>
        </mc:AlternateContent>
      </w:r>
    </w:p>
    <w:p w14:paraId="1CBCE62F" w14:textId="77777777" w:rsidR="0022086B" w:rsidRPr="00C04C4B" w:rsidRDefault="0022086B">
      <w:pPr>
        <w:jc w:val="both"/>
        <w:rPr>
          <w:rFonts w:ascii="Garamond" w:eastAsia="Garamond" w:hAnsi="Garamond" w:cs="Garamond"/>
        </w:rPr>
      </w:pPr>
    </w:p>
    <w:p w14:paraId="15D75339" w14:textId="77777777" w:rsidR="0022086B" w:rsidRPr="00C04C4B" w:rsidRDefault="0065443B">
      <w:pPr>
        <w:jc w:val="both"/>
        <w:rPr>
          <w:rFonts w:ascii="Garamond" w:eastAsia="Garamond" w:hAnsi="Garamond" w:cs="Garamond"/>
        </w:rPr>
      </w:pPr>
      <w:r w:rsidRPr="00C04C4B">
        <w:rPr>
          <w:rFonts w:ascii="Garamond" w:eastAsia="Garamond" w:hAnsi="Garamond" w:cs="Garamond"/>
        </w:rPr>
        <w:t>1.1. ANTECEDENTES Y NECESIDAD</w:t>
      </w:r>
    </w:p>
    <w:p w14:paraId="00A06364" w14:textId="77777777" w:rsidR="0022086B" w:rsidRPr="00C04C4B" w:rsidRDefault="0022086B">
      <w:pPr>
        <w:jc w:val="both"/>
        <w:rPr>
          <w:rFonts w:ascii="Garamond" w:eastAsia="Garamond" w:hAnsi="Garamond" w:cs="Garamond"/>
        </w:rPr>
      </w:pPr>
    </w:p>
    <w:p w14:paraId="241190DA" w14:textId="77777777" w:rsidR="0022086B" w:rsidRPr="00C04C4B" w:rsidRDefault="0065443B">
      <w:pPr>
        <w:jc w:val="both"/>
        <w:rPr>
          <w:rFonts w:ascii="Garamond" w:eastAsia="Garamond" w:hAnsi="Garamond" w:cs="Garamond"/>
        </w:rPr>
      </w:pPr>
      <w:r w:rsidRPr="00C04C4B">
        <w:rPr>
          <w:rFonts w:ascii="Garamond" w:eastAsia="Garamond" w:hAnsi="Garamond" w:cs="Garamond"/>
        </w:rPr>
        <w:t>De conformidad con el Artículo 15 del Acuerdo Distrital 637 de 2016 el cual modifica el artículo 52 del Acuerdo Distrital 257 de 2006, que a su tenor literal nos indica “La Secretaría Distrital de Gobierno es un organismo del Sector Central con autonomía administrativa y financiera que tiene por objeto 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w:t>
      </w:r>
    </w:p>
    <w:p w14:paraId="50EEC467" w14:textId="77777777" w:rsidR="0022086B" w:rsidRPr="00C04C4B" w:rsidRDefault="0022086B">
      <w:pPr>
        <w:jc w:val="both"/>
        <w:rPr>
          <w:rFonts w:ascii="Garamond" w:eastAsia="Garamond" w:hAnsi="Garamond" w:cs="Garamond"/>
        </w:rPr>
      </w:pPr>
    </w:p>
    <w:p w14:paraId="72F17427" w14:textId="77777777" w:rsidR="0022086B" w:rsidRPr="00C04C4B" w:rsidRDefault="0065443B">
      <w:pPr>
        <w:jc w:val="both"/>
        <w:rPr>
          <w:rFonts w:ascii="Garamond" w:eastAsia="Garamond" w:hAnsi="Garamond" w:cs="Garamond"/>
        </w:rPr>
      </w:pPr>
      <w:r w:rsidRPr="00C04C4B">
        <w:rPr>
          <w:rFonts w:ascii="Garamond" w:eastAsia="Garamond" w:hAnsi="Garamond" w:cs="Garamond"/>
        </w:rPr>
        <w:t xml:space="preserve">El artículo </w:t>
      </w:r>
      <w:hyperlink r:id="rId11">
        <w:r w:rsidRPr="00C04C4B">
          <w:rPr>
            <w:rFonts w:ascii="Garamond" w:eastAsia="Garamond" w:hAnsi="Garamond" w:cs="Garamond"/>
            <w:color w:val="0000FF"/>
            <w:u w:val="single"/>
          </w:rPr>
          <w:t>40</w:t>
        </w:r>
      </w:hyperlink>
      <w:r w:rsidRPr="00C04C4B">
        <w:rPr>
          <w:rFonts w:ascii="Garamond" w:eastAsia="Garamond" w:hAnsi="Garamond" w:cs="Garamond"/>
        </w:rPr>
        <w:t xml:space="preserve"> del Decreto Ley 1421 de 1993, consagra que el Alcalde Mayor podrá delegar las funciones que le asignen la ley y los acuerdos distritales, en los secretarios, jefes de departamento administrativo, gerentes o directores de entidades descentralizadas, en los funcionarios de la administración tributaria, en las juntas administradoras y en los alcaldes locales.</w:t>
      </w:r>
    </w:p>
    <w:p w14:paraId="3401DE53" w14:textId="77777777" w:rsidR="0022086B" w:rsidRPr="00C04C4B" w:rsidRDefault="0022086B">
      <w:pPr>
        <w:jc w:val="both"/>
        <w:rPr>
          <w:rFonts w:ascii="Garamond" w:eastAsia="Garamond" w:hAnsi="Garamond" w:cs="Garamond"/>
        </w:rPr>
      </w:pPr>
    </w:p>
    <w:p w14:paraId="46BAEE31" w14:textId="77777777" w:rsidR="0022086B" w:rsidRPr="00C04C4B" w:rsidRDefault="0065443B">
      <w:pPr>
        <w:jc w:val="both"/>
        <w:rPr>
          <w:rFonts w:ascii="Garamond" w:eastAsia="Garamond" w:hAnsi="Garamond" w:cs="Garamond"/>
        </w:rPr>
      </w:pPr>
      <w:r w:rsidRPr="00C04C4B">
        <w:rPr>
          <w:rFonts w:ascii="Garamond" w:eastAsia="Garamond" w:hAnsi="Garamond" w:cs="Garamond"/>
        </w:rPr>
        <w:t xml:space="preserve">Que el artículo </w:t>
      </w:r>
      <w:hyperlink r:id="rId12">
        <w:r w:rsidRPr="00C04C4B">
          <w:rPr>
            <w:rFonts w:ascii="Garamond" w:eastAsia="Garamond" w:hAnsi="Garamond" w:cs="Garamond"/>
            <w:color w:val="0000FF"/>
            <w:u w:val="single"/>
          </w:rPr>
          <w:t>11</w:t>
        </w:r>
      </w:hyperlink>
      <w:r w:rsidRPr="00C04C4B">
        <w:rPr>
          <w:rFonts w:ascii="Garamond" w:eastAsia="Garamond" w:hAnsi="Garamond" w:cs="Garamond"/>
        </w:rPr>
        <w:t xml:space="preserve"> del Acuerdo Distrital 740 de 2019, señala que “El Alcalde Mayor de Bogotá D.C., será el representante legal de los Fondos de Desarrollo Local y ordenador del gasto, podrá delegar respecto de cada Fondo la totalidad o parte de dichas funciones, de conformidad con el artículo 40 del Decreto Ley 1421 de 1993. (…)”.</w:t>
      </w:r>
    </w:p>
    <w:p w14:paraId="0C50B80D" w14:textId="77777777" w:rsidR="0022086B" w:rsidRPr="00C04C4B" w:rsidRDefault="0022086B">
      <w:pPr>
        <w:jc w:val="center"/>
        <w:rPr>
          <w:rFonts w:ascii="Garamond" w:eastAsia="Garamond" w:hAnsi="Garamond" w:cs="Garamond"/>
        </w:rPr>
      </w:pPr>
    </w:p>
    <w:p w14:paraId="0FB193EE" w14:textId="77777777" w:rsidR="0022086B" w:rsidRPr="00C04C4B" w:rsidRDefault="0065443B">
      <w:pPr>
        <w:jc w:val="both"/>
        <w:rPr>
          <w:rFonts w:ascii="Garamond" w:eastAsia="Garamond" w:hAnsi="Garamond" w:cs="Garamond"/>
        </w:rPr>
      </w:pPr>
      <w:r w:rsidRPr="00C04C4B">
        <w:rPr>
          <w:rFonts w:ascii="Garamond" w:eastAsia="Garamond" w:hAnsi="Garamond" w:cs="Garamond"/>
        </w:rPr>
        <w:t>Que por lo anterior, se considera necesario delegar en los alcaldes locales la facultad para contratar, ordenar los gastos y pagos con cargo al presupuesto de los Fondos de Desarrollo Local, de conformidad con las disposiciones que regulan las inversiones y gastos con cargo a tales Fondos; con lo cual en el Decreto 374 de 2019 se decreta: “Artículo 1.Delegar en los alcaldes locales la facultad para contratar, ordenar los gastos y pagos con cargo al presupuesto de los Fondos de Desarrollo Local, de conformidad con las disposiciones que regulan las inversiones y gastos con cargo a tales Fondos”</w:t>
      </w:r>
    </w:p>
    <w:p w14:paraId="2A84D6B2" w14:textId="77777777" w:rsidR="0022086B" w:rsidRPr="00C04C4B" w:rsidRDefault="0022086B">
      <w:pPr>
        <w:jc w:val="both"/>
        <w:rPr>
          <w:rFonts w:ascii="Garamond" w:eastAsia="Garamond" w:hAnsi="Garamond" w:cs="Garamond"/>
        </w:rPr>
      </w:pPr>
    </w:p>
    <w:p w14:paraId="452D3E36" w14:textId="77777777" w:rsidR="0022086B" w:rsidRPr="00C04C4B" w:rsidRDefault="0065443B">
      <w:pPr>
        <w:jc w:val="both"/>
        <w:rPr>
          <w:rFonts w:ascii="Garamond" w:eastAsia="Garamond" w:hAnsi="Garamond" w:cs="Garamond"/>
        </w:rPr>
      </w:pPr>
      <w:r w:rsidRPr="00C04C4B">
        <w:rPr>
          <w:rFonts w:ascii="Garamond" w:eastAsia="Garamond" w:hAnsi="Garamond" w:cs="Garamond"/>
        </w:rPr>
        <w:t>Es así que la Alcaldía Local tiene como misión “ser una dependencia de la Secretaría Distrital de Gobierno responsable de apoyar la ejecución de las competencias asignadas a los Alcaldes o Alcaldesas Locales. En este sentido, deberán coordinar la acción del Distrito en las localidades y participar en la definición de las políticas de promoción y gestión del desarrollo de su territorio. Asimismo, fomentar la organización de las comunidades, la participación ciudadana en los procesos de la gestión pública, la promoción de la convivencia y la resolución de conflictos.”.</w:t>
      </w:r>
    </w:p>
    <w:p w14:paraId="73B86565" w14:textId="77777777" w:rsidR="0022086B" w:rsidRPr="00C04C4B" w:rsidRDefault="0022086B">
      <w:pPr>
        <w:jc w:val="both"/>
        <w:rPr>
          <w:rFonts w:ascii="Garamond" w:eastAsia="Garamond" w:hAnsi="Garamond" w:cs="Garamond"/>
        </w:rPr>
      </w:pPr>
    </w:p>
    <w:p w14:paraId="0416D459" w14:textId="77777777" w:rsidR="0022086B" w:rsidRPr="00C04C4B" w:rsidRDefault="0065443B">
      <w:pPr>
        <w:jc w:val="both"/>
        <w:rPr>
          <w:rFonts w:ascii="Garamond" w:eastAsia="Garamond" w:hAnsi="Garamond" w:cs="Garamond"/>
        </w:rPr>
      </w:pPr>
      <w:r w:rsidRPr="00C04C4B">
        <w:rPr>
          <w:rFonts w:ascii="Garamond" w:eastAsia="Garamond" w:hAnsi="Garamond" w:cs="Garamond"/>
        </w:rPr>
        <w:t xml:space="preserve">Dentro de las directrices para el control de la gestión pública, el Decreto 168 de 2021, que modificó y adicionó parcialmente el Decreto Distrital 768 de 2019, establece en su Artículo </w:t>
      </w:r>
      <w:hyperlink r:id="rId13">
        <w:r w:rsidRPr="00C04C4B">
          <w:rPr>
            <w:rFonts w:ascii="Garamond" w:eastAsia="Garamond" w:hAnsi="Garamond" w:cs="Garamond"/>
            <w:color w:val="0000FF"/>
            <w:u w:val="single"/>
          </w:rPr>
          <w:t>2</w:t>
        </w:r>
      </w:hyperlink>
      <w:r w:rsidRPr="00C04C4B">
        <w:rPr>
          <w:rFonts w:ascii="Garamond" w:eastAsia="Garamond" w:hAnsi="Garamond" w:cs="Garamond"/>
        </w:rPr>
        <w:t xml:space="preserve"> del Decreto Distrital 411 de 2016, estipula que las Alcaldías Locales hacen parte de la estructura organizacional de la Secretaría Distrital de Gobierno, en concordancia con lo previsto en el artículo </w:t>
      </w:r>
      <w:hyperlink r:id="rId14">
        <w:r w:rsidRPr="00C04C4B">
          <w:rPr>
            <w:rFonts w:ascii="Garamond" w:eastAsia="Garamond" w:hAnsi="Garamond" w:cs="Garamond"/>
            <w:color w:val="0000FF"/>
            <w:u w:val="single"/>
          </w:rPr>
          <w:t>6</w:t>
        </w:r>
      </w:hyperlink>
      <w:r w:rsidRPr="00C04C4B">
        <w:rPr>
          <w:rFonts w:ascii="Garamond" w:eastAsia="Garamond" w:hAnsi="Garamond" w:cs="Garamond"/>
        </w:rPr>
        <w:t xml:space="preserve"> del Acuerdo Distrital 740 de 2019, que establece que </w:t>
      </w:r>
      <w:r w:rsidRPr="00C04C4B">
        <w:rPr>
          <w:rFonts w:ascii="Garamond" w:eastAsia="Garamond" w:hAnsi="Garamond" w:cs="Garamond"/>
        </w:rPr>
        <w:lastRenderedPageBreak/>
        <w:t>la Alcaldía Local es una dependencia de la Secretaría Distrital de Gobierno, responsable de las competencias asignadas a los Alcaldes Locales.</w:t>
      </w:r>
    </w:p>
    <w:p w14:paraId="7ADD0929" w14:textId="77777777" w:rsidR="0022086B" w:rsidRPr="00C04C4B" w:rsidRDefault="0022086B">
      <w:pPr>
        <w:jc w:val="both"/>
        <w:rPr>
          <w:rFonts w:ascii="Garamond" w:eastAsia="Garamond" w:hAnsi="Garamond" w:cs="Garamond"/>
        </w:rPr>
      </w:pPr>
    </w:p>
    <w:p w14:paraId="0CB557E5" w14:textId="77777777" w:rsidR="0022086B" w:rsidRPr="00C04C4B" w:rsidRDefault="0065443B">
      <w:pPr>
        <w:jc w:val="both"/>
        <w:rPr>
          <w:rFonts w:ascii="Garamond" w:eastAsia="Garamond" w:hAnsi="Garamond" w:cs="Garamond"/>
        </w:rPr>
      </w:pPr>
      <w:r w:rsidRPr="00C04C4B">
        <w:rPr>
          <w:rFonts w:ascii="Garamond" w:eastAsia="Garamond" w:hAnsi="Garamond" w:cs="Garamond"/>
        </w:rPr>
        <w:t xml:space="preserve">Artículo 2.Adicionase al Decreto Distrital 768 de 2019, el Artículo </w:t>
      </w:r>
      <w:hyperlink r:id="rId15">
        <w:r w:rsidRPr="00C04C4B">
          <w:rPr>
            <w:rFonts w:ascii="Garamond" w:eastAsia="Garamond" w:hAnsi="Garamond" w:cs="Garamond"/>
            <w:color w:val="0000FF"/>
            <w:u w:val="single"/>
          </w:rPr>
          <w:t>11B</w:t>
        </w:r>
      </w:hyperlink>
      <w:r w:rsidRPr="00C04C4B">
        <w:rPr>
          <w:rFonts w:ascii="Garamond" w:eastAsia="Garamond" w:hAnsi="Garamond" w:cs="Garamond"/>
        </w:rPr>
        <w:t xml:space="preserve"> del siguiente tenor.</w:t>
      </w:r>
    </w:p>
    <w:p w14:paraId="23F9922F" w14:textId="77777777" w:rsidR="0022086B" w:rsidRPr="00C04C4B" w:rsidRDefault="0022086B">
      <w:pPr>
        <w:jc w:val="both"/>
        <w:rPr>
          <w:rFonts w:ascii="Garamond" w:eastAsia="Garamond" w:hAnsi="Garamond" w:cs="Garamond"/>
        </w:rPr>
      </w:pPr>
    </w:p>
    <w:p w14:paraId="3869CC13" w14:textId="77777777" w:rsidR="0022086B" w:rsidRPr="00C04C4B" w:rsidRDefault="0065443B">
      <w:pPr>
        <w:jc w:val="both"/>
        <w:rPr>
          <w:rFonts w:ascii="Garamond" w:eastAsia="Garamond" w:hAnsi="Garamond" w:cs="Garamond"/>
        </w:rPr>
      </w:pPr>
      <w:r w:rsidRPr="00C04C4B">
        <w:rPr>
          <w:rFonts w:ascii="Garamond" w:eastAsia="Garamond" w:hAnsi="Garamond" w:cs="Garamond"/>
        </w:rPr>
        <w:t>“Artículo 11B. Lineamientos técnicos. En el marco de sus competencias, los sectores y entidades distritales establecerán los lineamientos técnicos que deberán cumplirse por parte de las alcaldías locales al momento de formular y ejecutar proyectos de inversión local.</w:t>
      </w:r>
    </w:p>
    <w:p w14:paraId="4DC6B4D1" w14:textId="77777777" w:rsidR="0022086B" w:rsidRPr="00C04C4B" w:rsidRDefault="0022086B">
      <w:pPr>
        <w:jc w:val="both"/>
        <w:rPr>
          <w:rFonts w:ascii="Garamond" w:eastAsia="Garamond" w:hAnsi="Garamond" w:cs="Garamond"/>
        </w:rPr>
      </w:pPr>
    </w:p>
    <w:p w14:paraId="5B138D71" w14:textId="77777777" w:rsidR="0022086B" w:rsidRPr="00C04C4B" w:rsidRDefault="0065443B">
      <w:pPr>
        <w:jc w:val="both"/>
        <w:rPr>
          <w:rFonts w:ascii="Garamond" w:eastAsia="Garamond" w:hAnsi="Garamond" w:cs="Garamond"/>
        </w:rPr>
      </w:pPr>
      <w:r w:rsidRPr="00C04C4B">
        <w:rPr>
          <w:rFonts w:ascii="Garamond" w:eastAsia="Garamond" w:hAnsi="Garamond" w:cs="Garamond"/>
        </w:rPr>
        <w:t>Parágrafo 1. La Secretaría Distrital de Gobierno, expedirá los lineamientos para la contratación y ejecución presupuestal con cargo a los Fondos de Desarrollo Local sin perjuicio de las funciones delegadas en materia contractual y de ordenación de gasto, que se encuentran asignadas en los/las alcaldes/as locales.</w:t>
      </w:r>
    </w:p>
    <w:p w14:paraId="182607E3" w14:textId="77777777" w:rsidR="0022086B" w:rsidRPr="00C04C4B" w:rsidRDefault="0022086B">
      <w:pPr>
        <w:jc w:val="both"/>
        <w:rPr>
          <w:rFonts w:ascii="Garamond" w:eastAsia="Garamond" w:hAnsi="Garamond" w:cs="Garamond"/>
        </w:rPr>
      </w:pPr>
    </w:p>
    <w:p w14:paraId="06094F28" w14:textId="77777777" w:rsidR="0022086B" w:rsidRPr="00C04C4B" w:rsidRDefault="0065443B">
      <w:pPr>
        <w:jc w:val="both"/>
        <w:rPr>
          <w:rFonts w:ascii="Garamond" w:eastAsia="Garamond" w:hAnsi="Garamond" w:cs="Garamond"/>
        </w:rPr>
      </w:pPr>
      <w:r w:rsidRPr="00C04C4B">
        <w:rPr>
          <w:rFonts w:ascii="Garamond" w:eastAsia="Garamond" w:hAnsi="Garamond" w:cs="Garamond"/>
        </w:rPr>
        <w:t>Parágrafo 2. La Secretaría General expedirá lineamientos para garantizar mediante acciones de articulación interinstitucional que se cumpla con las directrices de Gobierno Abierto, en especial lo relacionado con transparencia, rendición de cuentas, colaboración y uso de TIC.”</w:t>
      </w:r>
    </w:p>
    <w:p w14:paraId="2E2E7425" w14:textId="77777777" w:rsidR="0022086B" w:rsidRPr="00C04C4B" w:rsidRDefault="0022086B">
      <w:pPr>
        <w:jc w:val="both"/>
        <w:rPr>
          <w:rFonts w:ascii="Garamond" w:eastAsia="Garamond" w:hAnsi="Garamond" w:cs="Garamond"/>
        </w:rPr>
      </w:pPr>
    </w:p>
    <w:p w14:paraId="472A7546" w14:textId="77777777" w:rsidR="0022086B" w:rsidRPr="00C04C4B" w:rsidRDefault="0065443B">
      <w:pPr>
        <w:jc w:val="both"/>
        <w:rPr>
          <w:rFonts w:ascii="Garamond" w:eastAsia="Garamond" w:hAnsi="Garamond" w:cs="Garamond"/>
        </w:rPr>
      </w:pPr>
      <w:r w:rsidRPr="00C04C4B">
        <w:rPr>
          <w:rFonts w:ascii="Garamond" w:eastAsia="Garamond" w:hAnsi="Garamond" w:cs="Garamond"/>
        </w:rPr>
        <w:t xml:space="preserve">Artículo 3-. Modificase el artículo </w:t>
      </w:r>
      <w:hyperlink r:id="rId16">
        <w:r w:rsidRPr="00C04C4B">
          <w:rPr>
            <w:rFonts w:ascii="Garamond" w:eastAsia="Garamond" w:hAnsi="Garamond" w:cs="Garamond"/>
            <w:color w:val="0000FF"/>
            <w:u w:val="single"/>
          </w:rPr>
          <w:t>12</w:t>
        </w:r>
      </w:hyperlink>
      <w:r w:rsidRPr="00C04C4B">
        <w:rPr>
          <w:rFonts w:ascii="Garamond" w:eastAsia="Garamond" w:hAnsi="Garamond" w:cs="Garamond"/>
        </w:rPr>
        <w:t xml:space="preserve"> del Decreto Distrital 768 de 17 de diciembre de 2019, el cual quedará así:</w:t>
      </w:r>
    </w:p>
    <w:p w14:paraId="42E1E35C" w14:textId="77777777" w:rsidR="0022086B" w:rsidRPr="00C04C4B" w:rsidRDefault="0022086B">
      <w:pPr>
        <w:jc w:val="both"/>
        <w:rPr>
          <w:rFonts w:ascii="Garamond" w:eastAsia="Garamond" w:hAnsi="Garamond" w:cs="Garamond"/>
        </w:rPr>
      </w:pPr>
    </w:p>
    <w:p w14:paraId="6EDC0D98" w14:textId="77777777" w:rsidR="0022086B" w:rsidRPr="00C04C4B" w:rsidRDefault="0065443B">
      <w:pPr>
        <w:jc w:val="both"/>
        <w:rPr>
          <w:rFonts w:ascii="Garamond" w:eastAsia="Garamond" w:hAnsi="Garamond" w:cs="Garamond"/>
        </w:rPr>
      </w:pPr>
      <w:r w:rsidRPr="00C04C4B">
        <w:rPr>
          <w:rFonts w:ascii="Garamond" w:eastAsia="Garamond" w:hAnsi="Garamond" w:cs="Garamond"/>
        </w:rPr>
        <w:t>“Artículo 12. Asesoría y asistencia técnica de los sectores y/o entidades distritales competentes para la formulación, ejecución y seguimiento a los proyectos de inversión local. Los proyectos de inversión local serán formulados y ejecutados por las Alcaldías Locales observando y garantizando el cumplimiento de los criterios técnicos de viabilidad establecidos por el sector, con el fin de garantizar la calidad en la entrega de obras, bienes y servicios, la coherencia con las políticas públicas y la incorporación de los distintos enfoques.</w:t>
      </w:r>
    </w:p>
    <w:p w14:paraId="0B0283DF" w14:textId="77777777" w:rsidR="0022086B" w:rsidRPr="00C04C4B" w:rsidRDefault="0022086B">
      <w:pPr>
        <w:jc w:val="both"/>
        <w:rPr>
          <w:rFonts w:ascii="Garamond" w:eastAsia="Garamond" w:hAnsi="Garamond" w:cs="Garamond"/>
        </w:rPr>
      </w:pPr>
    </w:p>
    <w:p w14:paraId="7A89BB07" w14:textId="77777777" w:rsidR="0022086B" w:rsidRPr="00C04C4B" w:rsidRDefault="0065443B">
      <w:pPr>
        <w:jc w:val="both"/>
        <w:rPr>
          <w:rFonts w:ascii="Garamond" w:eastAsia="Garamond" w:hAnsi="Garamond" w:cs="Garamond"/>
        </w:rPr>
      </w:pPr>
      <w:r w:rsidRPr="00C04C4B">
        <w:rPr>
          <w:rFonts w:ascii="Garamond" w:eastAsia="Garamond" w:hAnsi="Garamond" w:cs="Garamond"/>
        </w:rPr>
        <w:t>Los/Las Alcaldes/as podrán solicitar asesoría y asistencia técnica específica a las entidades cabezas de sector y a las demás entidades distritales según sus competencias y misionalidad, cuando lo consideren necesario durante el proceso de formulación, actualización o ejecución de los proyectos de inversión local.</w:t>
      </w:r>
    </w:p>
    <w:p w14:paraId="10D90484" w14:textId="77777777" w:rsidR="0022086B" w:rsidRPr="00C04C4B" w:rsidRDefault="0022086B">
      <w:pPr>
        <w:jc w:val="both"/>
        <w:rPr>
          <w:rFonts w:ascii="Garamond" w:eastAsia="Garamond" w:hAnsi="Garamond" w:cs="Garamond"/>
        </w:rPr>
      </w:pPr>
    </w:p>
    <w:p w14:paraId="708EF0ED" w14:textId="77777777" w:rsidR="0022086B" w:rsidRPr="00C04C4B" w:rsidRDefault="0065443B">
      <w:pPr>
        <w:jc w:val="both"/>
        <w:rPr>
          <w:rFonts w:ascii="Garamond" w:eastAsia="Garamond" w:hAnsi="Garamond" w:cs="Garamond"/>
        </w:rPr>
      </w:pPr>
      <w:r w:rsidRPr="00C04C4B">
        <w:rPr>
          <w:rFonts w:ascii="Garamond" w:eastAsia="Garamond" w:hAnsi="Garamond" w:cs="Garamond"/>
        </w:rPr>
        <w:t>Parágrafo transitorio: Con relación a los proyectos de inversión que, con anterioridad a la entrada en vigor del presente decreto, cuenten con concepto previo y favorable emitido por los sectores y/o entidades de la Administración Distrital, las Alcaldías Locales deberán tener en cuenta las recomendaciones emitidas a través de dicho concepto.</w:t>
      </w:r>
    </w:p>
    <w:p w14:paraId="36BD9E0C" w14:textId="77777777" w:rsidR="0022086B" w:rsidRPr="00C04C4B" w:rsidRDefault="0022086B">
      <w:pPr>
        <w:jc w:val="both"/>
        <w:rPr>
          <w:rFonts w:ascii="Garamond" w:eastAsia="Garamond" w:hAnsi="Garamond" w:cs="Garamond"/>
        </w:rPr>
      </w:pPr>
    </w:p>
    <w:p w14:paraId="23650635" w14:textId="77777777" w:rsidR="0022086B" w:rsidRPr="00C04C4B" w:rsidRDefault="0065443B">
      <w:pPr>
        <w:jc w:val="both"/>
        <w:rPr>
          <w:rFonts w:ascii="Garamond" w:eastAsia="Garamond" w:hAnsi="Garamond" w:cs="Garamond"/>
        </w:rPr>
      </w:pPr>
      <w:r w:rsidRPr="00C04C4B">
        <w:rPr>
          <w:rFonts w:ascii="Garamond" w:eastAsia="Garamond" w:hAnsi="Garamond" w:cs="Garamond"/>
        </w:rPr>
        <w:t>Por otro lado, el Acuerdo Distrital 740 de 2019 que establece directrices para el control de la gestión pública estipula en su ARTÍCULO 7.Funciones de la Alcaldía Local. Son funciones de la Alcaldía Local:</w:t>
      </w:r>
    </w:p>
    <w:p w14:paraId="75ABDC8B" w14:textId="77777777" w:rsidR="0022086B" w:rsidRPr="00C04C4B" w:rsidRDefault="0022086B">
      <w:pPr>
        <w:jc w:val="both"/>
        <w:rPr>
          <w:rFonts w:ascii="Garamond" w:eastAsia="Garamond" w:hAnsi="Garamond" w:cs="Garamond"/>
        </w:rPr>
      </w:pPr>
    </w:p>
    <w:p w14:paraId="5D38B0AA" w14:textId="77777777" w:rsidR="0022086B" w:rsidRPr="00C04C4B" w:rsidRDefault="0065443B">
      <w:pPr>
        <w:jc w:val="both"/>
        <w:rPr>
          <w:rFonts w:ascii="Garamond" w:eastAsia="Garamond" w:hAnsi="Garamond" w:cs="Garamond"/>
        </w:rPr>
      </w:pPr>
      <w:r w:rsidRPr="00C04C4B">
        <w:rPr>
          <w:rFonts w:ascii="Garamond" w:eastAsia="Garamond" w:hAnsi="Garamond" w:cs="Garamond"/>
        </w:rPr>
        <w:t>Misionales.</w:t>
      </w:r>
    </w:p>
    <w:p w14:paraId="62DE4073" w14:textId="77777777" w:rsidR="0022086B" w:rsidRPr="00C04C4B" w:rsidRDefault="0022086B">
      <w:pPr>
        <w:jc w:val="both"/>
        <w:rPr>
          <w:rFonts w:ascii="Garamond" w:eastAsia="Garamond" w:hAnsi="Garamond" w:cs="Garamond"/>
        </w:rPr>
      </w:pPr>
    </w:p>
    <w:p w14:paraId="035B5BB1" w14:textId="77777777" w:rsidR="0022086B" w:rsidRPr="00C04C4B" w:rsidRDefault="0065443B">
      <w:pPr>
        <w:jc w:val="both"/>
        <w:rPr>
          <w:rFonts w:ascii="Garamond" w:eastAsia="Garamond" w:hAnsi="Garamond" w:cs="Garamond"/>
        </w:rPr>
      </w:pPr>
      <w:r w:rsidRPr="00C04C4B">
        <w:rPr>
          <w:rFonts w:ascii="Garamond" w:eastAsia="Garamond" w:hAnsi="Garamond" w:cs="Garamond"/>
        </w:rPr>
        <w:t>Promover la organización social y estimular la participación de los ciudadanos y organizaciones en los procesos de gestión pública local.</w:t>
      </w:r>
    </w:p>
    <w:p w14:paraId="41E9ED13" w14:textId="77777777" w:rsidR="0022086B" w:rsidRPr="00C04C4B" w:rsidRDefault="0065443B">
      <w:pPr>
        <w:jc w:val="both"/>
        <w:rPr>
          <w:rFonts w:ascii="Garamond" w:eastAsia="Garamond" w:hAnsi="Garamond" w:cs="Garamond"/>
        </w:rPr>
      </w:pPr>
      <w:r w:rsidRPr="00C04C4B">
        <w:rPr>
          <w:rFonts w:ascii="Garamond" w:eastAsia="Garamond" w:hAnsi="Garamond" w:cs="Garamond"/>
        </w:rPr>
        <w:lastRenderedPageBreak/>
        <w:t>Promover la convivencia pacífica, la aplicación de las normas de policía en lo que sea de su competencia conforme con la ley y coordinar los distintos mecanismos e instancias de resolución pacífica de conflictos, tales como mediación, conciliación, y facilitar la interlocución de todas las instancias y organismos que ejerzan funciones que impacten en la localidad.</w:t>
      </w:r>
    </w:p>
    <w:p w14:paraId="4638B81C" w14:textId="77777777" w:rsidR="0022086B" w:rsidRPr="00C04C4B" w:rsidRDefault="0022086B">
      <w:pPr>
        <w:jc w:val="both"/>
        <w:rPr>
          <w:rFonts w:ascii="Garamond" w:eastAsia="Garamond" w:hAnsi="Garamond" w:cs="Garamond"/>
        </w:rPr>
      </w:pPr>
    </w:p>
    <w:p w14:paraId="08FBEB95" w14:textId="77777777" w:rsidR="0022086B" w:rsidRPr="00C04C4B" w:rsidRDefault="0065443B">
      <w:pPr>
        <w:jc w:val="both"/>
        <w:rPr>
          <w:rFonts w:ascii="Garamond" w:eastAsia="Garamond" w:hAnsi="Garamond" w:cs="Garamond"/>
        </w:rPr>
      </w:pPr>
      <w:r w:rsidRPr="00C04C4B">
        <w:rPr>
          <w:rFonts w:ascii="Garamond" w:eastAsia="Garamond" w:hAnsi="Garamond" w:cs="Garamond"/>
        </w:rPr>
        <w:t>Planear estratégicamente los asuntos propios relativos a sus competencias y la ejecución de los recursos de los Fondos de Desarrollo Local, en el marco de los Planes de Desarrollo Local y de los lineamientos y prioridades del Distrito Capital relativos a su localidad.</w:t>
      </w:r>
    </w:p>
    <w:p w14:paraId="43896BB3" w14:textId="77777777" w:rsidR="0022086B" w:rsidRPr="00C04C4B" w:rsidRDefault="0022086B">
      <w:pPr>
        <w:jc w:val="both"/>
        <w:rPr>
          <w:rFonts w:ascii="Garamond" w:eastAsia="Garamond" w:hAnsi="Garamond" w:cs="Garamond"/>
        </w:rPr>
      </w:pPr>
    </w:p>
    <w:p w14:paraId="09F59131" w14:textId="77777777" w:rsidR="0022086B" w:rsidRPr="00C04C4B" w:rsidRDefault="0065443B">
      <w:pPr>
        <w:jc w:val="both"/>
        <w:rPr>
          <w:rFonts w:ascii="Garamond" w:eastAsia="Garamond" w:hAnsi="Garamond" w:cs="Garamond"/>
        </w:rPr>
      </w:pPr>
      <w:r w:rsidRPr="00C04C4B">
        <w:rPr>
          <w:rFonts w:ascii="Garamond" w:eastAsia="Garamond" w:hAnsi="Garamond" w:cs="Garamond"/>
        </w:rPr>
        <w:t>Contribuir a las metas del Plan Distrital de Desarrollo, en el marco de las competencias de las autoridades locales.</w:t>
      </w:r>
    </w:p>
    <w:p w14:paraId="2CCFAC24" w14:textId="77777777" w:rsidR="0022086B" w:rsidRPr="00C04C4B" w:rsidRDefault="0022086B">
      <w:pPr>
        <w:jc w:val="both"/>
        <w:rPr>
          <w:rFonts w:ascii="Garamond" w:eastAsia="Garamond" w:hAnsi="Garamond" w:cs="Garamond"/>
        </w:rPr>
      </w:pPr>
    </w:p>
    <w:p w14:paraId="360BA26B" w14:textId="77777777" w:rsidR="0022086B" w:rsidRPr="00C04C4B" w:rsidRDefault="0065443B">
      <w:pPr>
        <w:jc w:val="both"/>
        <w:rPr>
          <w:rFonts w:ascii="Garamond" w:eastAsia="Garamond" w:hAnsi="Garamond" w:cs="Garamond"/>
        </w:rPr>
      </w:pPr>
      <w:r w:rsidRPr="00C04C4B">
        <w:rPr>
          <w:rFonts w:ascii="Garamond" w:eastAsia="Garamond" w:hAnsi="Garamond" w:cs="Garamond"/>
        </w:rPr>
        <w:t>Desarrollar labores de inspección y vigilancia en materia de función policiva y de facilitador y coordinador en la gestión administrativa e institucional que permita al Inspector de Policía y al Corregidor desarrollar su responsabilidad de las labores de control en la respectiva Localidad.</w:t>
      </w:r>
    </w:p>
    <w:p w14:paraId="7762A554" w14:textId="77777777" w:rsidR="0022086B" w:rsidRPr="00C04C4B" w:rsidRDefault="0022086B">
      <w:pPr>
        <w:jc w:val="both"/>
        <w:rPr>
          <w:rFonts w:ascii="Garamond" w:eastAsia="Garamond" w:hAnsi="Garamond" w:cs="Garamond"/>
        </w:rPr>
      </w:pPr>
    </w:p>
    <w:p w14:paraId="1E6D8C24" w14:textId="77777777" w:rsidR="0022086B" w:rsidRPr="00C04C4B" w:rsidRDefault="0065443B">
      <w:pPr>
        <w:jc w:val="both"/>
        <w:rPr>
          <w:rFonts w:ascii="Garamond" w:eastAsia="Garamond" w:hAnsi="Garamond" w:cs="Garamond"/>
        </w:rPr>
      </w:pPr>
      <w:r w:rsidRPr="00C04C4B">
        <w:rPr>
          <w:rFonts w:ascii="Garamond" w:eastAsia="Garamond" w:hAnsi="Garamond" w:cs="Garamond"/>
        </w:rPr>
        <w:t>Administrativa.</w:t>
      </w:r>
    </w:p>
    <w:p w14:paraId="6BA60808" w14:textId="77777777" w:rsidR="0022086B" w:rsidRPr="00C04C4B" w:rsidRDefault="0022086B">
      <w:pPr>
        <w:jc w:val="both"/>
        <w:rPr>
          <w:rFonts w:ascii="Garamond" w:eastAsia="Garamond" w:hAnsi="Garamond" w:cs="Garamond"/>
        </w:rPr>
      </w:pPr>
    </w:p>
    <w:p w14:paraId="5B8F1BA2" w14:textId="77777777" w:rsidR="0022086B" w:rsidRPr="00C04C4B" w:rsidRDefault="0065443B">
      <w:pPr>
        <w:jc w:val="both"/>
        <w:rPr>
          <w:rFonts w:ascii="Garamond" w:eastAsia="Garamond" w:hAnsi="Garamond" w:cs="Garamond"/>
        </w:rPr>
      </w:pPr>
      <w:r w:rsidRPr="00C04C4B">
        <w:rPr>
          <w:rFonts w:ascii="Garamond" w:eastAsia="Garamond" w:hAnsi="Garamond" w:cs="Garamond"/>
        </w:rPr>
        <w:t>Desarrollar los procesos de gestión pública requeridos para el cumplimiento de sus funciones misionales y de las funciones de los Alcaldes Locales conforme con las normas vigentes.</w:t>
      </w:r>
    </w:p>
    <w:p w14:paraId="1C23F217" w14:textId="77777777" w:rsidR="0022086B" w:rsidRPr="00C04C4B" w:rsidRDefault="0022086B">
      <w:pPr>
        <w:jc w:val="both"/>
        <w:rPr>
          <w:rFonts w:ascii="Garamond" w:eastAsia="Garamond" w:hAnsi="Garamond" w:cs="Garamond"/>
        </w:rPr>
      </w:pPr>
    </w:p>
    <w:p w14:paraId="2A0B26D6" w14:textId="77777777" w:rsidR="0022086B" w:rsidRPr="00C04C4B" w:rsidRDefault="0065443B">
      <w:pPr>
        <w:jc w:val="both"/>
        <w:rPr>
          <w:rFonts w:ascii="Garamond" w:eastAsia="Garamond" w:hAnsi="Garamond" w:cs="Garamond"/>
        </w:rPr>
      </w:pPr>
      <w:r w:rsidRPr="00C04C4B">
        <w:rPr>
          <w:rFonts w:ascii="Garamond" w:eastAsia="Garamond" w:hAnsi="Garamond" w:cs="Garamond"/>
        </w:rPr>
        <w:t>De coordinación entre niveles.</w:t>
      </w:r>
    </w:p>
    <w:p w14:paraId="08DDA85A" w14:textId="77777777" w:rsidR="0022086B" w:rsidRPr="00C04C4B" w:rsidRDefault="0022086B">
      <w:pPr>
        <w:jc w:val="both"/>
        <w:rPr>
          <w:rFonts w:ascii="Garamond" w:eastAsia="Garamond" w:hAnsi="Garamond" w:cs="Garamond"/>
        </w:rPr>
      </w:pPr>
    </w:p>
    <w:p w14:paraId="3A90388C" w14:textId="77777777" w:rsidR="0022086B" w:rsidRPr="00C04C4B" w:rsidRDefault="0065443B">
      <w:pPr>
        <w:jc w:val="both"/>
        <w:rPr>
          <w:rFonts w:ascii="Garamond" w:eastAsia="Garamond" w:hAnsi="Garamond" w:cs="Garamond"/>
        </w:rPr>
      </w:pPr>
      <w:r w:rsidRPr="00C04C4B">
        <w:rPr>
          <w:rFonts w:ascii="Garamond" w:eastAsia="Garamond" w:hAnsi="Garamond" w:cs="Garamond"/>
        </w:rPr>
        <w:t xml:space="preserve">Adelantar los procesos de apoyo a los Alcaldes Locales en la atribución de coordinar la acción administrativa del Distrito Capital en la localidad, de acuerdo con lo previsto en el Decreto Ley </w:t>
      </w:r>
      <w:hyperlink r:id="rId17">
        <w:r w:rsidRPr="00C04C4B">
          <w:rPr>
            <w:rFonts w:ascii="Garamond" w:eastAsia="Garamond" w:hAnsi="Garamond" w:cs="Garamond"/>
            <w:color w:val="0000FF"/>
            <w:u w:val="single"/>
          </w:rPr>
          <w:t>1421</w:t>
        </w:r>
      </w:hyperlink>
      <w:r w:rsidRPr="00C04C4B">
        <w:rPr>
          <w:rFonts w:ascii="Garamond" w:eastAsia="Garamond" w:hAnsi="Garamond" w:cs="Garamond"/>
        </w:rPr>
        <w:t xml:space="preserve"> de 1993 y el presente Acuerdo.</w:t>
      </w:r>
    </w:p>
    <w:p w14:paraId="49D62102" w14:textId="77777777" w:rsidR="0022086B" w:rsidRPr="00C04C4B" w:rsidRDefault="0022086B">
      <w:pPr>
        <w:jc w:val="both"/>
        <w:rPr>
          <w:rFonts w:ascii="Garamond" w:eastAsia="Garamond" w:hAnsi="Garamond" w:cs="Garamond"/>
        </w:rPr>
      </w:pPr>
    </w:p>
    <w:p w14:paraId="36BD34E0" w14:textId="77777777" w:rsidR="0022086B" w:rsidRPr="00C04C4B" w:rsidRDefault="0065443B">
      <w:pPr>
        <w:jc w:val="both"/>
        <w:rPr>
          <w:rFonts w:ascii="Garamond" w:eastAsia="Garamond" w:hAnsi="Garamond" w:cs="Garamond"/>
        </w:rPr>
      </w:pPr>
      <w:r w:rsidRPr="00C04C4B">
        <w:rPr>
          <w:rFonts w:ascii="Garamond" w:eastAsia="Garamond" w:hAnsi="Garamond" w:cs="Garamond"/>
        </w:rPr>
        <w:t>Asegurar la articulación de la gestión local y distrital a través de la armonización de los Planes de Desarrollo Local con el Plan Distrital de Desarrollo y el Plan de Ordenamiento Territorial del Distrito Capital y las políticas públicas distritales.</w:t>
      </w:r>
    </w:p>
    <w:p w14:paraId="13A2457A" w14:textId="77777777" w:rsidR="0022086B" w:rsidRPr="00C04C4B" w:rsidRDefault="0022086B">
      <w:pPr>
        <w:jc w:val="both"/>
        <w:rPr>
          <w:rFonts w:ascii="Garamond" w:eastAsia="Garamond" w:hAnsi="Garamond" w:cs="Garamond"/>
        </w:rPr>
      </w:pPr>
    </w:p>
    <w:p w14:paraId="53501377" w14:textId="77777777" w:rsidR="0022086B" w:rsidRPr="00C04C4B" w:rsidRDefault="0065443B">
      <w:pPr>
        <w:jc w:val="both"/>
        <w:rPr>
          <w:rFonts w:ascii="Garamond" w:eastAsia="Garamond" w:hAnsi="Garamond" w:cs="Garamond"/>
        </w:rPr>
      </w:pPr>
      <w:r w:rsidRPr="00C04C4B">
        <w:rPr>
          <w:rFonts w:ascii="Garamond" w:eastAsia="Garamond" w:hAnsi="Garamond" w:cs="Garamond"/>
        </w:rPr>
        <w:t>Dentro de las funciones básicas de la Secretaría Distrital de Gobierno se encuentran, entre otras, "Coordinar con las Secretarías del Distrito y las Alcaldías Locales la formulación y adopción de políticas, planes, programas y proyectos de acuerdo con sus funciones."</w:t>
      </w:r>
    </w:p>
    <w:p w14:paraId="42079445" w14:textId="77777777" w:rsidR="0022086B" w:rsidRPr="00C04C4B" w:rsidRDefault="0022086B">
      <w:pPr>
        <w:jc w:val="both"/>
        <w:rPr>
          <w:rFonts w:ascii="Garamond" w:eastAsia="Garamond" w:hAnsi="Garamond" w:cs="Garamond"/>
        </w:rPr>
      </w:pPr>
    </w:p>
    <w:p w14:paraId="37D00551" w14:textId="77777777" w:rsidR="0022086B" w:rsidRPr="00C04C4B" w:rsidRDefault="0065443B">
      <w:pPr>
        <w:jc w:val="both"/>
        <w:rPr>
          <w:rFonts w:ascii="Garamond" w:eastAsia="Garamond" w:hAnsi="Garamond" w:cs="Garamond"/>
        </w:rPr>
      </w:pPr>
      <w:r w:rsidRPr="00C04C4B">
        <w:rPr>
          <w:rFonts w:ascii="Garamond" w:eastAsia="Garamond" w:hAnsi="Garamond" w:cs="Garamond"/>
        </w:rPr>
        <w:t>Dentro de la estructura organización de la Secretaría Distrital de Gobierno se Encuentra la Alcaldía Local de Tunjuelito, de acuerdo con lo establecido en el Decreto 411 de 30 de septiembre de 2016, '.'Por medio del cual se modifica la Estructura Organizacional de la Secretaría Distrital de Gobierno", corresponde a las Alcaldías Locales, el ejercicio de las siguientes funciones, entre otras:</w:t>
      </w:r>
    </w:p>
    <w:p w14:paraId="4268BDA2" w14:textId="77777777" w:rsidR="0022086B" w:rsidRPr="00C04C4B" w:rsidRDefault="0022086B">
      <w:pPr>
        <w:jc w:val="both"/>
        <w:rPr>
          <w:rFonts w:ascii="Garamond" w:eastAsia="Garamond" w:hAnsi="Garamond" w:cs="Garamond"/>
        </w:rPr>
      </w:pPr>
    </w:p>
    <w:p w14:paraId="473FB516" w14:textId="77777777" w:rsidR="0022086B" w:rsidRPr="00C04C4B" w:rsidRDefault="0065443B">
      <w:pPr>
        <w:jc w:val="both"/>
        <w:rPr>
          <w:rFonts w:ascii="Garamond" w:eastAsia="Garamond" w:hAnsi="Garamond" w:cs="Garamond"/>
        </w:rPr>
      </w:pPr>
      <w:r w:rsidRPr="00C04C4B">
        <w:rPr>
          <w:rFonts w:ascii="Garamond" w:eastAsia="Garamond" w:hAnsi="Garamond" w:cs="Garamond"/>
        </w:rPr>
        <w:t>Formular el Plan de Desarrollo Local en el marco de las orientaciones distritales.</w:t>
      </w:r>
    </w:p>
    <w:p w14:paraId="7212E089" w14:textId="77777777" w:rsidR="0022086B" w:rsidRPr="00C04C4B" w:rsidRDefault="0022086B">
      <w:pPr>
        <w:jc w:val="both"/>
        <w:rPr>
          <w:rFonts w:ascii="Garamond" w:eastAsia="Garamond" w:hAnsi="Garamond" w:cs="Garamond"/>
        </w:rPr>
      </w:pPr>
    </w:p>
    <w:p w14:paraId="593CD5EA" w14:textId="4CA95E4F" w:rsidR="0022086B" w:rsidRPr="00C04C4B" w:rsidRDefault="0065443B">
      <w:pPr>
        <w:jc w:val="both"/>
        <w:rPr>
          <w:rFonts w:ascii="Garamond" w:eastAsia="Garamond" w:hAnsi="Garamond" w:cs="Garamond"/>
        </w:rPr>
      </w:pPr>
      <w:r w:rsidRPr="00C04C4B">
        <w:rPr>
          <w:rFonts w:ascii="Garamond" w:eastAsia="Garamond" w:hAnsi="Garamond" w:cs="Garamond"/>
        </w:rPr>
        <w:t>Desarrollar los procesos asociados a la formulación, ejecución y seguimiento de los proyectos de inversión con cargo a los recursos de los Fondos de Desarrollo Local, cuando la delegación de la facultad de ejecución del gasto recaiga en el Alcalde Local.</w:t>
      </w:r>
    </w:p>
    <w:p w14:paraId="1893EAB2" w14:textId="77777777" w:rsidR="001F4B08" w:rsidRPr="00C04C4B" w:rsidRDefault="001F4B08">
      <w:pPr>
        <w:jc w:val="both"/>
        <w:rPr>
          <w:rFonts w:ascii="Garamond" w:eastAsia="Garamond" w:hAnsi="Garamond" w:cs="Garamond"/>
        </w:rPr>
      </w:pPr>
    </w:p>
    <w:p w14:paraId="0DE74C73" w14:textId="77777777" w:rsidR="0022086B" w:rsidRPr="00C04C4B" w:rsidRDefault="0065443B">
      <w:pPr>
        <w:jc w:val="both"/>
        <w:rPr>
          <w:rFonts w:ascii="Garamond" w:eastAsia="Garamond" w:hAnsi="Garamond" w:cs="Garamond"/>
        </w:rPr>
      </w:pPr>
      <w:r w:rsidRPr="00C04C4B">
        <w:rPr>
          <w:rFonts w:ascii="Garamond" w:eastAsia="Garamond" w:hAnsi="Garamond" w:cs="Garamond"/>
        </w:rPr>
        <w:t>Las demás funciones asignadas por la ley que correspondan a su naturaleza.</w:t>
      </w:r>
    </w:p>
    <w:p w14:paraId="7D6C9477" w14:textId="77777777" w:rsidR="0022086B" w:rsidRPr="00C04C4B" w:rsidRDefault="0022086B">
      <w:pPr>
        <w:jc w:val="both"/>
        <w:rPr>
          <w:rFonts w:ascii="Garamond" w:eastAsia="Garamond" w:hAnsi="Garamond" w:cs="Garamond"/>
        </w:rPr>
      </w:pPr>
    </w:p>
    <w:p w14:paraId="49889E61" w14:textId="77777777" w:rsidR="0022086B" w:rsidRPr="00C04C4B" w:rsidRDefault="0065443B">
      <w:pPr>
        <w:jc w:val="both"/>
        <w:rPr>
          <w:rFonts w:ascii="Garamond" w:eastAsia="Garamond" w:hAnsi="Garamond" w:cs="Garamond"/>
        </w:rPr>
      </w:pPr>
      <w:r w:rsidRPr="00C04C4B">
        <w:rPr>
          <w:rFonts w:ascii="Garamond" w:eastAsia="Garamond" w:hAnsi="Garamond" w:cs="Garamond"/>
        </w:rPr>
        <w:t>Que el Decreto Ley 1421 de 1993 en su artículo 87 y siguientes, regula lo relativo a la creación y funcionamiento de los Fondos de Desarrollo Local en cada una de las localidades que conforman el Distrito Capital; así mismo, el artículo 92 del mismo Decreto, determinó que el Alcalde Mayor de Bogotá D.C., es el representante legal y ordenador del gasto de dichos Fondos de Desarrollo, y así mismo contempla la facultad de delegar total o parcialmente estas funciones. Fue así como en ejercicio de dicha facultad, se expidió el Decreto Distrital 768 de 2019, mediante el cual se delegó en los señores Alcaldes Locales, la ordenación de los gastos de los recursos asignados dentro del presupuesto, a los Fondos de Desarrollo Local.</w:t>
      </w:r>
    </w:p>
    <w:p w14:paraId="1930C08A" w14:textId="77777777" w:rsidR="0022086B" w:rsidRPr="00C04C4B" w:rsidRDefault="0022086B">
      <w:pPr>
        <w:jc w:val="both"/>
        <w:rPr>
          <w:rFonts w:ascii="Garamond" w:eastAsia="Garamond" w:hAnsi="Garamond" w:cs="Garamond"/>
        </w:rPr>
      </w:pPr>
    </w:p>
    <w:p w14:paraId="7E5724AD" w14:textId="77777777" w:rsidR="0022086B" w:rsidRPr="00C04C4B" w:rsidRDefault="0065443B">
      <w:pPr>
        <w:jc w:val="both"/>
        <w:rPr>
          <w:rFonts w:ascii="Garamond" w:eastAsia="Garamond" w:hAnsi="Garamond" w:cs="Garamond"/>
        </w:rPr>
      </w:pPr>
      <w:r w:rsidRPr="00C04C4B">
        <w:rPr>
          <w:rFonts w:ascii="Garamond" w:eastAsia="Garamond" w:hAnsi="Garamond" w:cs="Garamond"/>
        </w:rPr>
        <w:t>Que las autoridades distritales y locales, teniendo en cuenta los principios de concurrencia, subsidiariedad y complementariedad. El artículo 86 de este mismo Decreto, entre las atribuciones de los Alcaldes Locales, establece las de cumplir con las funciones que les fijen y deleguen el Concejo Municipal, el Alcalde Mayor, las Juntas Administradoras Locales y otras autoridades distritales, además de coordinar la acción administrativa en la Localidad.</w:t>
      </w:r>
    </w:p>
    <w:p w14:paraId="70270A0A" w14:textId="77777777" w:rsidR="0022086B" w:rsidRPr="00C04C4B" w:rsidRDefault="0022086B">
      <w:pPr>
        <w:jc w:val="both"/>
        <w:rPr>
          <w:rFonts w:ascii="Garamond" w:eastAsia="Garamond" w:hAnsi="Garamond" w:cs="Garamond"/>
        </w:rPr>
      </w:pPr>
    </w:p>
    <w:p w14:paraId="24B911F4" w14:textId="77777777" w:rsidR="0022086B" w:rsidRPr="00C04C4B" w:rsidRDefault="0065443B">
      <w:pPr>
        <w:jc w:val="both"/>
        <w:rPr>
          <w:rFonts w:ascii="Garamond" w:eastAsia="Garamond" w:hAnsi="Garamond" w:cs="Garamond"/>
        </w:rPr>
      </w:pPr>
      <w:r w:rsidRPr="00C04C4B">
        <w:rPr>
          <w:rFonts w:ascii="Garamond" w:eastAsia="Garamond" w:hAnsi="Garamond" w:cs="Garamond"/>
        </w:rPr>
        <w:t>La localidad de Tunjuelito adoptó el Plan de Desarrollo de la Localidad de Tunjuelito 2025-2028 por el cual se adopta el Plan de Desarrollo Económico, Social, Ambiental y de Obras Públicas para la Localidad de Tunjuelito 2025-2028 “Tunjuelito Camina Segura”, en su Artículo 41. Programa 24. Revitalización y renovación urbana y rural con inclusión. Este programa busca construir e intervenir los parques de la red de proximidad con el fin de impulsar el crecimiento verde y mejorar la calidad de vida de la ciudadanía para la recreación, el deporte y la actividad física, fortaleciendo los espacios de esparcimiento y de relacionamiento sociales.</w:t>
      </w:r>
    </w:p>
    <w:p w14:paraId="6AF27BE7" w14:textId="77777777" w:rsidR="0022086B" w:rsidRPr="00C04C4B" w:rsidRDefault="0022086B">
      <w:pPr>
        <w:jc w:val="both"/>
        <w:rPr>
          <w:rFonts w:ascii="Garamond" w:eastAsia="Garamond" w:hAnsi="Garamond" w:cs="Garamond"/>
        </w:rPr>
      </w:pPr>
    </w:p>
    <w:p w14:paraId="73884AF2" w14:textId="77777777" w:rsidR="0022086B" w:rsidRPr="00C04C4B" w:rsidRDefault="0065443B">
      <w:pPr>
        <w:jc w:val="both"/>
        <w:rPr>
          <w:rFonts w:ascii="Garamond" w:eastAsia="Garamond" w:hAnsi="Garamond" w:cs="Garamond"/>
        </w:rPr>
      </w:pPr>
      <w:r w:rsidRPr="00C04C4B">
        <w:rPr>
          <w:rFonts w:ascii="Garamond" w:eastAsia="Garamond" w:hAnsi="Garamond" w:cs="Garamond"/>
        </w:rPr>
        <w:t>El Sistema Distrital de Parques, es un conjunto de escenarios de carácter público, que se encuentran ubicados en las 20 localidades de Bogotá y están a disposición de un adecuado aprovechamiento del tiempo libre por parte de los habitantes.</w:t>
      </w:r>
    </w:p>
    <w:p w14:paraId="4EB013D5" w14:textId="77777777" w:rsidR="0022086B" w:rsidRPr="00C04C4B" w:rsidRDefault="0022086B">
      <w:pPr>
        <w:jc w:val="both"/>
        <w:rPr>
          <w:rFonts w:ascii="Garamond" w:eastAsia="Garamond" w:hAnsi="Garamond" w:cs="Garamond"/>
        </w:rPr>
      </w:pPr>
    </w:p>
    <w:p w14:paraId="30FA9A68" w14:textId="77777777" w:rsidR="00F32663" w:rsidRPr="00C04C4B" w:rsidRDefault="00F32663" w:rsidP="00F32663">
      <w:pPr>
        <w:jc w:val="both"/>
        <w:rPr>
          <w:rFonts w:ascii="Garamond" w:eastAsia="Garamond" w:hAnsi="Garamond" w:cs="Garamond"/>
        </w:rPr>
      </w:pPr>
      <w:r w:rsidRPr="00C04C4B">
        <w:rPr>
          <w:rFonts w:ascii="Garamond" w:eastAsia="Garamond" w:hAnsi="Garamond" w:cs="Garamond"/>
        </w:rPr>
        <w:t>En el marco de lo establecido en el Decreto 555 de 2021, mediante el cual se adopta la revisión general del Plan de Ordenamiento Territorial de Bogotá D.C., los parques distritales hacen parte del sistema de espacio público y se clasifican, entre otros, en parques de escala vecinal y parques de bolsillo, los cuales cumplen una función esencial en la provisión de espacios para la recreación, la integración social y el desarrollo de actividades comunitarias.</w:t>
      </w:r>
    </w:p>
    <w:p w14:paraId="1902459A" w14:textId="77777777" w:rsidR="00F32663" w:rsidRPr="00C04C4B" w:rsidRDefault="00F32663" w:rsidP="00F32663">
      <w:pPr>
        <w:jc w:val="both"/>
        <w:rPr>
          <w:rFonts w:ascii="Garamond" w:eastAsia="Garamond" w:hAnsi="Garamond" w:cs="Garamond"/>
        </w:rPr>
      </w:pPr>
    </w:p>
    <w:p w14:paraId="0734D2CE" w14:textId="77777777" w:rsidR="00F32663" w:rsidRPr="00C04C4B" w:rsidRDefault="00F32663" w:rsidP="00F32663">
      <w:pPr>
        <w:jc w:val="both"/>
        <w:rPr>
          <w:rFonts w:ascii="Garamond" w:eastAsia="Garamond" w:hAnsi="Garamond" w:cs="Garamond"/>
        </w:rPr>
      </w:pPr>
      <w:r w:rsidRPr="00C04C4B">
        <w:rPr>
          <w:rFonts w:ascii="Garamond" w:eastAsia="Garamond" w:hAnsi="Garamond" w:cs="Garamond"/>
        </w:rPr>
        <w:t xml:space="preserve">En este contexto, el Fondo de Desarrollo Local de Tunjuelito, en cumplimiento de sus competencias en materia de inversión local y gestión del espacio público, debe adelantar acciones orientadas al mejoramiento, adecuación y/o construcción de este tipo de equipamientos, con el fin de garantizar condiciones adecuadas de accesibilidad, </w:t>
      </w:r>
      <w:r w:rsidRPr="00C04C4B">
        <w:rPr>
          <w:rFonts w:ascii="Garamond" w:eastAsia="Garamond" w:hAnsi="Garamond" w:cs="Garamond"/>
        </w:rPr>
        <w:lastRenderedPageBreak/>
        <w:t>seguridad, funcionalidad y sostenibilidad para la comunidad.</w:t>
      </w:r>
    </w:p>
    <w:p w14:paraId="1087E29C" w14:textId="77777777" w:rsidR="00F32663" w:rsidRPr="00C04C4B" w:rsidRDefault="00F32663" w:rsidP="00F32663">
      <w:pPr>
        <w:jc w:val="both"/>
        <w:rPr>
          <w:rFonts w:ascii="Garamond" w:eastAsia="Garamond" w:hAnsi="Garamond" w:cs="Garamond"/>
        </w:rPr>
      </w:pPr>
    </w:p>
    <w:p w14:paraId="480D2FDF" w14:textId="77777777" w:rsidR="00F32663" w:rsidRPr="00C04C4B" w:rsidRDefault="00F32663" w:rsidP="00F32663">
      <w:pPr>
        <w:jc w:val="both"/>
        <w:rPr>
          <w:rFonts w:ascii="Garamond" w:eastAsia="Garamond" w:hAnsi="Garamond" w:cs="Garamond"/>
        </w:rPr>
      </w:pPr>
      <w:r w:rsidRPr="00C04C4B">
        <w:rPr>
          <w:rFonts w:ascii="Garamond" w:eastAsia="Garamond" w:hAnsi="Garamond" w:cs="Garamond"/>
        </w:rPr>
        <w:t>Los parques de escala vecinal se definen como áreas libres destinadas a la recreación, la reunión y la integración comunitaria, que atienden las necesidades de los barrios y sectores residenciales, comúnmente identificadas como zonas verdes o cesiones tipo A. Por su parte, los parques de bolsillo corresponden a áreas de menor extensión (generalmente inferiores a 1.000 m²), orientadas principalmente a la recreación pasiva y activa de poblaciones específicas como niños y adultos mayores.</w:t>
      </w:r>
    </w:p>
    <w:p w14:paraId="3CF25681" w14:textId="77777777" w:rsidR="00F32663" w:rsidRPr="00C04C4B" w:rsidRDefault="00F32663" w:rsidP="00F32663">
      <w:pPr>
        <w:jc w:val="both"/>
        <w:rPr>
          <w:rFonts w:ascii="Garamond" w:eastAsia="Garamond" w:hAnsi="Garamond" w:cs="Garamond"/>
        </w:rPr>
      </w:pPr>
    </w:p>
    <w:p w14:paraId="37ED5A32" w14:textId="77777777" w:rsidR="00F32663" w:rsidRPr="00C04C4B" w:rsidRDefault="00F32663" w:rsidP="00F32663">
      <w:pPr>
        <w:jc w:val="both"/>
        <w:rPr>
          <w:rFonts w:ascii="Garamond" w:eastAsia="Garamond" w:hAnsi="Garamond" w:cs="Garamond"/>
        </w:rPr>
      </w:pPr>
      <w:r w:rsidRPr="00C04C4B">
        <w:rPr>
          <w:rFonts w:ascii="Garamond" w:eastAsia="Garamond" w:hAnsi="Garamond" w:cs="Garamond"/>
        </w:rPr>
        <w:t>De conformidad con la actualización normativa establecida en el Decreto 263 de 2023, estos espacios se clasifican como parques de proximidad (vecinales y de bolsillo), dentro de la tipología de “Encuentro – Proximidad”, los cuales se encuentran debidamente georreferenciados y administrados por el Instituto Distrital de Recreación y Deporte (</w:t>
      </w:r>
      <w:proofErr w:type="spellStart"/>
      <w:r w:rsidRPr="00C04C4B">
        <w:rPr>
          <w:rFonts w:ascii="Garamond" w:eastAsia="Garamond" w:hAnsi="Garamond" w:cs="Garamond"/>
        </w:rPr>
        <w:t>IDRD</w:t>
      </w:r>
      <w:proofErr w:type="spellEnd"/>
      <w:r w:rsidRPr="00C04C4B">
        <w:rPr>
          <w:rFonts w:ascii="Garamond" w:eastAsia="Garamond" w:hAnsi="Garamond" w:cs="Garamond"/>
        </w:rPr>
        <w:t>), entidad que establece los lineamientos técnicos para su diseño, intervención y dotación.</w:t>
      </w:r>
    </w:p>
    <w:p w14:paraId="27AA0702" w14:textId="77777777" w:rsidR="00F32663" w:rsidRPr="00C04C4B" w:rsidRDefault="00F32663" w:rsidP="00F32663">
      <w:pPr>
        <w:jc w:val="both"/>
        <w:rPr>
          <w:rFonts w:ascii="Garamond" w:eastAsia="Garamond" w:hAnsi="Garamond" w:cs="Garamond"/>
        </w:rPr>
      </w:pPr>
    </w:p>
    <w:p w14:paraId="40DB9F35" w14:textId="77777777" w:rsidR="00F32663" w:rsidRPr="00C04C4B" w:rsidRDefault="00F32663" w:rsidP="00F32663">
      <w:pPr>
        <w:jc w:val="both"/>
        <w:rPr>
          <w:rFonts w:ascii="Garamond" w:eastAsia="Garamond" w:hAnsi="Garamond" w:cs="Garamond"/>
        </w:rPr>
      </w:pPr>
      <w:r w:rsidRPr="00C04C4B">
        <w:rPr>
          <w:rFonts w:ascii="Garamond" w:eastAsia="Garamond" w:hAnsi="Garamond" w:cs="Garamond"/>
        </w:rPr>
        <w:t>En términos funcionales, estos parques constituyen nodos fundamentales de integración social, donde confluyen actividades recreativas, deportivas y culturales de carácter gratuito, promoviendo el uso adecuado del espacio público y el fortalecimiento del tejido social.</w:t>
      </w:r>
    </w:p>
    <w:p w14:paraId="44779908" w14:textId="77777777" w:rsidR="00F32663" w:rsidRPr="00C04C4B" w:rsidRDefault="00F32663" w:rsidP="00F32663">
      <w:pPr>
        <w:jc w:val="both"/>
        <w:rPr>
          <w:rFonts w:ascii="Garamond" w:eastAsia="Garamond" w:hAnsi="Garamond" w:cs="Garamond"/>
        </w:rPr>
      </w:pPr>
    </w:p>
    <w:p w14:paraId="3B36AD82" w14:textId="77777777" w:rsidR="00F32663" w:rsidRPr="00C04C4B" w:rsidRDefault="00F32663" w:rsidP="00F32663">
      <w:pPr>
        <w:jc w:val="both"/>
        <w:rPr>
          <w:rFonts w:ascii="Garamond" w:eastAsia="Garamond" w:hAnsi="Garamond" w:cs="Garamond"/>
        </w:rPr>
      </w:pPr>
      <w:r w:rsidRPr="00C04C4B">
        <w:rPr>
          <w:rFonts w:ascii="Garamond" w:eastAsia="Garamond" w:hAnsi="Garamond" w:cs="Garamond"/>
        </w:rPr>
        <w:t>No obstante, la ausencia de intervenciones oportunas, ya sea a través de procesos de construcción, adecuación o mejoramiento, conlleva al deterioro progresivo de la infraestructura, afectando su funcionalidad, reduciendo los niveles de apropiación ciudadana y limitando el desarrollo de actividades comunitarias.</w:t>
      </w:r>
    </w:p>
    <w:p w14:paraId="3BAB39C1" w14:textId="77777777" w:rsidR="00F32663" w:rsidRPr="00C04C4B" w:rsidRDefault="00F32663" w:rsidP="00F32663">
      <w:pPr>
        <w:jc w:val="both"/>
        <w:rPr>
          <w:rFonts w:ascii="Garamond" w:eastAsia="Garamond" w:hAnsi="Garamond" w:cs="Garamond"/>
        </w:rPr>
      </w:pPr>
    </w:p>
    <w:p w14:paraId="0AE5EBC8" w14:textId="70BC3FD2" w:rsidR="0022086B" w:rsidRPr="00C04C4B" w:rsidRDefault="00F32663" w:rsidP="00F32663">
      <w:pPr>
        <w:jc w:val="both"/>
        <w:rPr>
          <w:rFonts w:ascii="Garamond" w:eastAsia="Garamond" w:hAnsi="Garamond" w:cs="Garamond"/>
        </w:rPr>
      </w:pPr>
      <w:r w:rsidRPr="00C04C4B">
        <w:rPr>
          <w:rFonts w:ascii="Garamond" w:eastAsia="Garamond" w:hAnsi="Garamond" w:cs="Garamond"/>
        </w:rPr>
        <w:t>En este sentido, resulta técnicamente necesario adelantar intervenciones integrales que permitan recuperar, construir o mejorar las condiciones físicas y operativas de estos espacios, optimizando su vida útil, garantizando el cumplimiento de los estándares normativos vigentes y asegurando su adecuado funcionamiento en beneficio de la población de la localidad.</w:t>
      </w:r>
    </w:p>
    <w:p w14:paraId="00E95594" w14:textId="77777777" w:rsidR="00F32663" w:rsidRPr="00C04C4B" w:rsidRDefault="00F32663" w:rsidP="00F32663">
      <w:pPr>
        <w:jc w:val="both"/>
        <w:rPr>
          <w:rFonts w:ascii="Garamond" w:eastAsia="Garamond" w:hAnsi="Garamond" w:cs="Garamond"/>
        </w:rPr>
      </w:pPr>
    </w:p>
    <w:p w14:paraId="702B546E" w14:textId="77777777" w:rsidR="00F32663" w:rsidRPr="00C04C4B" w:rsidRDefault="00F32663" w:rsidP="00F32663">
      <w:pPr>
        <w:jc w:val="both"/>
        <w:rPr>
          <w:rFonts w:ascii="Garamond" w:eastAsia="Garamond" w:hAnsi="Garamond" w:cs="Garamond"/>
        </w:rPr>
      </w:pPr>
      <w:r w:rsidRPr="00C04C4B">
        <w:rPr>
          <w:rFonts w:ascii="Garamond" w:eastAsia="Garamond" w:hAnsi="Garamond" w:cs="Garamond"/>
        </w:rPr>
        <w:t xml:space="preserve">En el marco del proyecto de inversión orientado al fortalecimiento del espacio público en la localidad de Tunjuelito, se definió la construcción del parque identificado con código </w:t>
      </w:r>
      <w:proofErr w:type="spellStart"/>
      <w:r w:rsidRPr="00C04C4B">
        <w:rPr>
          <w:rFonts w:ascii="Garamond" w:eastAsia="Garamond" w:hAnsi="Garamond" w:cs="Garamond"/>
        </w:rPr>
        <w:t>IDRD</w:t>
      </w:r>
      <w:proofErr w:type="spellEnd"/>
      <w:r w:rsidRPr="00C04C4B">
        <w:rPr>
          <w:rFonts w:ascii="Garamond" w:eastAsia="Garamond" w:hAnsi="Garamond" w:cs="Garamond"/>
        </w:rPr>
        <w:t xml:space="preserve"> 06-087, localizado en la </w:t>
      </w:r>
      <w:proofErr w:type="spellStart"/>
      <w:r w:rsidRPr="00C04C4B">
        <w:rPr>
          <w:rFonts w:ascii="Garamond" w:eastAsia="Garamond" w:hAnsi="Garamond" w:cs="Garamond"/>
        </w:rPr>
        <w:t>UPZ</w:t>
      </w:r>
      <w:proofErr w:type="spellEnd"/>
      <w:r w:rsidRPr="00C04C4B">
        <w:rPr>
          <w:rFonts w:ascii="Garamond" w:eastAsia="Garamond" w:hAnsi="Garamond" w:cs="Garamond"/>
        </w:rPr>
        <w:t xml:space="preserve"> 42 Venecia, en la dirección Urbanización El Tunal II, Calle 55 Sur No. 24C – 05, como una intervención prioritaria para la generación de un nuevo espacio recreo-deportivo que responda a las necesidades de la comunidad del sector.</w:t>
      </w:r>
    </w:p>
    <w:p w14:paraId="4952E0B1" w14:textId="77777777" w:rsidR="00F32663" w:rsidRPr="00C04C4B" w:rsidRDefault="00F32663" w:rsidP="00F32663">
      <w:pPr>
        <w:jc w:val="both"/>
        <w:rPr>
          <w:rFonts w:ascii="Garamond" w:eastAsia="Garamond" w:hAnsi="Garamond" w:cs="Garamond"/>
        </w:rPr>
      </w:pPr>
    </w:p>
    <w:p w14:paraId="0B82D353" w14:textId="77777777" w:rsidR="00F32663" w:rsidRPr="00C04C4B" w:rsidRDefault="00F32663" w:rsidP="00F32663">
      <w:pPr>
        <w:jc w:val="both"/>
        <w:rPr>
          <w:rFonts w:ascii="Garamond" w:eastAsia="Garamond" w:hAnsi="Garamond" w:cs="Garamond"/>
        </w:rPr>
      </w:pPr>
      <w:r w:rsidRPr="00C04C4B">
        <w:rPr>
          <w:rFonts w:ascii="Garamond" w:eastAsia="Garamond" w:hAnsi="Garamond" w:cs="Garamond"/>
        </w:rPr>
        <w:t>El área objeto de intervención corresponde actualmente a un espacio con condiciones limitadas de infraestructura, lo cual hace necesaria la ejecución de obras orientadas a la construcción integral del parque, incluyendo la adecuación de zonas duras, instalación de mobiliario urbano, implementación de áreas recreativas y deportivas, así como la incorporación de elementos que garanticen accesibilidad, seguridad y funcionalidad del espacio.</w:t>
      </w:r>
    </w:p>
    <w:p w14:paraId="34F1D5A5" w14:textId="77777777" w:rsidR="00F32663" w:rsidRPr="00C04C4B" w:rsidRDefault="00F32663" w:rsidP="00F32663">
      <w:pPr>
        <w:jc w:val="both"/>
        <w:rPr>
          <w:rFonts w:ascii="Garamond" w:eastAsia="Garamond" w:hAnsi="Garamond" w:cs="Garamond"/>
        </w:rPr>
      </w:pPr>
    </w:p>
    <w:p w14:paraId="3C9DE126" w14:textId="77777777" w:rsidR="00F32663" w:rsidRPr="00C04C4B" w:rsidRDefault="00F32663" w:rsidP="00F32663">
      <w:pPr>
        <w:jc w:val="both"/>
        <w:rPr>
          <w:rFonts w:ascii="Garamond" w:eastAsia="Garamond" w:hAnsi="Garamond" w:cs="Garamond"/>
        </w:rPr>
      </w:pPr>
      <w:r w:rsidRPr="00C04C4B">
        <w:rPr>
          <w:rFonts w:ascii="Garamond" w:eastAsia="Garamond" w:hAnsi="Garamond" w:cs="Garamond"/>
        </w:rPr>
        <w:t xml:space="preserve">En este sentido, la presente interventoría tiene como propósito realizar el seguimiento y control integral al contrato de obra que ejecutará la construcción del parque 06-087, asegurando el cumplimiento de las </w:t>
      </w:r>
      <w:r w:rsidRPr="00C04C4B">
        <w:rPr>
          <w:rFonts w:ascii="Garamond" w:eastAsia="Garamond" w:hAnsi="Garamond" w:cs="Garamond"/>
        </w:rPr>
        <w:lastRenderedPageBreak/>
        <w:t>condiciones técnicas, administrativas, financieras, legales, ambientales y sociales establecidas en los estudios y diseños, el anexo técnico y la normatividad vigente aplicable.</w:t>
      </w:r>
    </w:p>
    <w:p w14:paraId="0FD35037" w14:textId="77777777" w:rsidR="00F32663" w:rsidRPr="00C04C4B" w:rsidRDefault="00F32663" w:rsidP="00F32663">
      <w:pPr>
        <w:jc w:val="both"/>
        <w:rPr>
          <w:rFonts w:ascii="Garamond" w:eastAsia="Garamond" w:hAnsi="Garamond" w:cs="Garamond"/>
        </w:rPr>
      </w:pPr>
    </w:p>
    <w:p w14:paraId="4599A697" w14:textId="30578B74" w:rsidR="0022086B" w:rsidRPr="00C04C4B" w:rsidRDefault="00F32663" w:rsidP="00143F11">
      <w:pPr>
        <w:jc w:val="both"/>
        <w:rPr>
          <w:rFonts w:ascii="Garamond" w:eastAsia="Garamond" w:hAnsi="Garamond" w:cs="Garamond"/>
        </w:rPr>
      </w:pPr>
      <w:r w:rsidRPr="00C04C4B">
        <w:rPr>
          <w:rFonts w:ascii="Garamond" w:eastAsia="Garamond" w:hAnsi="Garamond" w:cs="Garamond"/>
        </w:rPr>
        <w:t>La interventoría deberá verificar que las actividades constructivas se desarrollen conforme a los lineamientos establecidos por el Instituto Distrital de Recreación y Deporte (</w:t>
      </w:r>
      <w:proofErr w:type="spellStart"/>
      <w:r w:rsidRPr="00C04C4B">
        <w:rPr>
          <w:rFonts w:ascii="Garamond" w:eastAsia="Garamond" w:hAnsi="Garamond" w:cs="Garamond"/>
        </w:rPr>
        <w:t>IDRD</w:t>
      </w:r>
      <w:proofErr w:type="spellEnd"/>
      <w:r w:rsidRPr="00C04C4B">
        <w:rPr>
          <w:rFonts w:ascii="Garamond" w:eastAsia="Garamond" w:hAnsi="Garamond" w:cs="Garamond"/>
        </w:rPr>
        <w:t>), el Manual de Espacio Público adoptado mediante el Decreto 263 de 2023 y el Decreto 555 de 2021, garantizando la calidad de la obra, la correcta ejecución de los recursos públicos y la adecuada entrega del parque para su uso por parte de la comunidad.</w:t>
      </w:r>
    </w:p>
    <w:p w14:paraId="1EAF918C" w14:textId="77777777" w:rsidR="00143F11" w:rsidRPr="00143F11" w:rsidRDefault="00143F11" w:rsidP="00143F11">
      <w:pPr>
        <w:widowControl/>
        <w:spacing w:before="100" w:beforeAutospacing="1" w:after="100" w:afterAutospacing="1"/>
        <w:jc w:val="both"/>
        <w:rPr>
          <w:rFonts w:ascii="Garamond" w:hAnsi="Garamond"/>
          <w:lang w:val="es-CO"/>
        </w:rPr>
      </w:pPr>
      <w:r w:rsidRPr="00143F11">
        <w:rPr>
          <w:rFonts w:ascii="Garamond" w:hAnsi="Garamond"/>
          <w:lang w:val="es-CO"/>
        </w:rPr>
        <w:t xml:space="preserve">En atención a la necesidad de fortalecer la infraestructura recreativa y el espacio público en la localidad de Tunjuelito, el Fondo de Desarrollo Local adelantó la estructuración de un proceso de contratación de obra pública, cuyo objeto corresponde a la construcción del parque identificado con código </w:t>
      </w:r>
      <w:proofErr w:type="spellStart"/>
      <w:r w:rsidRPr="00143F11">
        <w:rPr>
          <w:rFonts w:ascii="Garamond" w:hAnsi="Garamond"/>
          <w:lang w:val="es-CO"/>
        </w:rPr>
        <w:t>IDRD</w:t>
      </w:r>
      <w:proofErr w:type="spellEnd"/>
      <w:r w:rsidRPr="00143F11">
        <w:rPr>
          <w:rFonts w:ascii="Garamond" w:hAnsi="Garamond"/>
          <w:lang w:val="es-CO"/>
        </w:rPr>
        <w:t xml:space="preserve"> 06-087, ubicado en la Urbanización El Tunal II, Calle 55 Sur No. 24C – 05, en la </w:t>
      </w:r>
      <w:proofErr w:type="spellStart"/>
      <w:r w:rsidRPr="00143F11">
        <w:rPr>
          <w:rFonts w:ascii="Garamond" w:hAnsi="Garamond"/>
          <w:lang w:val="es-CO"/>
        </w:rPr>
        <w:t>UPZ</w:t>
      </w:r>
      <w:proofErr w:type="spellEnd"/>
      <w:r w:rsidRPr="00143F11">
        <w:rPr>
          <w:rFonts w:ascii="Garamond" w:hAnsi="Garamond"/>
          <w:lang w:val="es-CO"/>
        </w:rPr>
        <w:t xml:space="preserve"> 42 Venecia.</w:t>
      </w:r>
    </w:p>
    <w:p w14:paraId="506F6AD8" w14:textId="77777777" w:rsidR="00143F11" w:rsidRPr="00143F11" w:rsidRDefault="00143F11" w:rsidP="00143F11">
      <w:pPr>
        <w:widowControl/>
        <w:spacing w:before="100" w:beforeAutospacing="1" w:after="100" w:afterAutospacing="1"/>
        <w:jc w:val="both"/>
        <w:rPr>
          <w:rFonts w:ascii="Garamond" w:hAnsi="Garamond"/>
          <w:lang w:val="es-CO"/>
        </w:rPr>
      </w:pPr>
      <w:r w:rsidRPr="00143F11">
        <w:rPr>
          <w:rFonts w:ascii="Garamond" w:hAnsi="Garamond"/>
          <w:lang w:val="es-CO"/>
        </w:rPr>
        <w:t>La intervención proyectada tiene como finalidad la generación de un espacio público funcional, accesible y seguro, que incorpore infraestructura recreativa y deportiva acorde con los lineamientos técnicos del Instituto Distrital de Recreación y Deporte (</w:t>
      </w:r>
      <w:proofErr w:type="spellStart"/>
      <w:r w:rsidRPr="00143F11">
        <w:rPr>
          <w:rFonts w:ascii="Garamond" w:hAnsi="Garamond"/>
          <w:lang w:val="es-CO"/>
        </w:rPr>
        <w:t>IDRD</w:t>
      </w:r>
      <w:proofErr w:type="spellEnd"/>
      <w:r w:rsidRPr="00143F11">
        <w:rPr>
          <w:rFonts w:ascii="Garamond" w:hAnsi="Garamond"/>
          <w:lang w:val="es-CO"/>
        </w:rPr>
        <w:t>), así como con la normativa vigente en materia de espacio público, accesibilidad universal y seguridad en el uso de equipamientos urbanos. En este sentido, la obra comprende la ejecución integral de componentes constructivos asociados a zonas duras, circulaciones peatonales, áreas recreativas, mobiliario urbano y demás elementos necesarios para la adecuada operación del parque.</w:t>
      </w:r>
    </w:p>
    <w:p w14:paraId="5D62C924" w14:textId="77777777" w:rsidR="00143F11" w:rsidRPr="00143F11" w:rsidRDefault="00143F11" w:rsidP="00143F11">
      <w:pPr>
        <w:widowControl/>
        <w:spacing w:before="100" w:beforeAutospacing="1" w:after="100" w:afterAutospacing="1"/>
        <w:jc w:val="both"/>
        <w:rPr>
          <w:rFonts w:ascii="Garamond" w:hAnsi="Garamond"/>
          <w:lang w:val="es-CO"/>
        </w:rPr>
      </w:pPr>
      <w:r w:rsidRPr="00143F11">
        <w:rPr>
          <w:rFonts w:ascii="Garamond" w:hAnsi="Garamond"/>
          <w:lang w:val="es-CO"/>
        </w:rPr>
        <w:t>En desarrollo de dicho proceso, y de conformidad con lo establecido en el artículo 32 de la Ley 80 de 1993, se hace obligatoria la contratación de una interventoría externa que ejerza el control técnico, administrativo, financiero, legal, ambiental y social del contrato de obra, garantizando la correcta ejecución del proyecto y la protección del interés público.</w:t>
      </w:r>
    </w:p>
    <w:p w14:paraId="31CB60C4" w14:textId="77777777" w:rsidR="00143F11" w:rsidRPr="00143F11" w:rsidRDefault="00143F11" w:rsidP="00143F11">
      <w:pPr>
        <w:widowControl/>
        <w:spacing w:before="100" w:beforeAutospacing="1" w:after="100" w:afterAutospacing="1"/>
        <w:jc w:val="both"/>
        <w:rPr>
          <w:rFonts w:ascii="Garamond" w:hAnsi="Garamond"/>
          <w:lang w:val="es-CO"/>
        </w:rPr>
      </w:pPr>
      <w:r w:rsidRPr="00143F11">
        <w:rPr>
          <w:rFonts w:ascii="Garamond" w:hAnsi="Garamond"/>
          <w:lang w:val="es-CO"/>
        </w:rPr>
        <w:t>En este contexto, el Fondo de Desarrollo Local de Tunjuelito deberá adelantar un proceso de selección mediante la modalidad de concurso de méritos, con el propósito de contratar la interventoría del proyecto, la cual tendrá como finalidad ejercer el seguimiento, verificación, revisión, control y aprobación de todas las actividades desarrolladas en el marco del contrato de obra, desde la suscripción del acta de inicio hasta la liquidación del contrato.</w:t>
      </w:r>
    </w:p>
    <w:p w14:paraId="624C0E40" w14:textId="77777777" w:rsidR="00143F11" w:rsidRPr="00143F11" w:rsidRDefault="00143F11" w:rsidP="00143F11">
      <w:pPr>
        <w:widowControl/>
        <w:spacing w:before="100" w:beforeAutospacing="1" w:after="100" w:afterAutospacing="1"/>
        <w:jc w:val="both"/>
        <w:rPr>
          <w:rFonts w:ascii="Garamond" w:hAnsi="Garamond"/>
          <w:lang w:val="es-CO"/>
        </w:rPr>
      </w:pPr>
      <w:r w:rsidRPr="00143F11">
        <w:rPr>
          <w:rFonts w:ascii="Garamond" w:hAnsi="Garamond"/>
          <w:lang w:val="es-CO"/>
        </w:rPr>
        <w:t>La interventoría deberá asegurar que la ejecución del proyecto se realice en estricta conformidad con los estudios y diseños aprobados, el presupuesto contractual, el cronograma de obra, las especificaciones técnicas aplicables y la normatividad vigente, verificando de manera permanente la calidad de los materiales, la idoneidad de los procesos constructivos y el cumplimiento de los criterios de aceptación establecidos para cada actividad.</w:t>
      </w:r>
    </w:p>
    <w:p w14:paraId="1ACB9F4B" w14:textId="77777777" w:rsidR="00143F11" w:rsidRPr="00143F11" w:rsidRDefault="00143F11" w:rsidP="00143F11">
      <w:pPr>
        <w:widowControl/>
        <w:spacing w:before="100" w:beforeAutospacing="1" w:after="100" w:afterAutospacing="1"/>
        <w:jc w:val="both"/>
        <w:rPr>
          <w:rFonts w:ascii="Garamond" w:hAnsi="Garamond"/>
          <w:lang w:val="es-CO"/>
        </w:rPr>
      </w:pPr>
      <w:r w:rsidRPr="00143F11">
        <w:rPr>
          <w:rFonts w:ascii="Garamond" w:hAnsi="Garamond"/>
          <w:lang w:val="es-CO"/>
        </w:rPr>
        <w:t>Dentro de su alcance, la interventoría desarrollará, entre otras, las siguientes actividades:</w:t>
      </w:r>
    </w:p>
    <w:p w14:paraId="10AAC542" w14:textId="77777777" w:rsidR="00143F11" w:rsidRPr="00143F11" w:rsidRDefault="00143F11" w:rsidP="00A23238">
      <w:pPr>
        <w:widowControl/>
        <w:numPr>
          <w:ilvl w:val="0"/>
          <w:numId w:val="19"/>
        </w:numPr>
        <w:spacing w:before="100" w:beforeAutospacing="1" w:after="100" w:afterAutospacing="1"/>
        <w:jc w:val="both"/>
        <w:rPr>
          <w:rFonts w:ascii="Garamond" w:hAnsi="Garamond"/>
          <w:lang w:val="es-CO"/>
        </w:rPr>
      </w:pPr>
      <w:r w:rsidRPr="00143F11">
        <w:rPr>
          <w:rFonts w:ascii="Garamond" w:hAnsi="Garamond"/>
          <w:lang w:val="es-CO"/>
        </w:rPr>
        <w:t xml:space="preserve">Verificación de la correcta localización, replanteo y ejecución de las obras conforme a los planos aprobados. </w:t>
      </w:r>
    </w:p>
    <w:p w14:paraId="025E339F" w14:textId="77777777" w:rsidR="00143F11" w:rsidRPr="00143F11" w:rsidRDefault="00143F11" w:rsidP="00A23238">
      <w:pPr>
        <w:widowControl/>
        <w:numPr>
          <w:ilvl w:val="0"/>
          <w:numId w:val="19"/>
        </w:numPr>
        <w:spacing w:before="100" w:beforeAutospacing="1" w:after="100" w:afterAutospacing="1"/>
        <w:jc w:val="both"/>
        <w:rPr>
          <w:rFonts w:ascii="Garamond" w:hAnsi="Garamond"/>
          <w:lang w:val="es-CO"/>
        </w:rPr>
      </w:pPr>
      <w:r w:rsidRPr="00143F11">
        <w:rPr>
          <w:rFonts w:ascii="Garamond" w:hAnsi="Garamond"/>
          <w:lang w:val="es-CO"/>
        </w:rPr>
        <w:lastRenderedPageBreak/>
        <w:t xml:space="preserve">Seguimiento al cumplimiento del programa de obra, hitos contractuales y flujo de inversión. </w:t>
      </w:r>
    </w:p>
    <w:p w14:paraId="72EF088A" w14:textId="77777777" w:rsidR="00143F11" w:rsidRPr="00143F11" w:rsidRDefault="00143F11" w:rsidP="00A23238">
      <w:pPr>
        <w:widowControl/>
        <w:numPr>
          <w:ilvl w:val="0"/>
          <w:numId w:val="19"/>
        </w:numPr>
        <w:spacing w:before="100" w:beforeAutospacing="1" w:after="100" w:afterAutospacing="1"/>
        <w:jc w:val="both"/>
        <w:rPr>
          <w:rFonts w:ascii="Garamond" w:hAnsi="Garamond"/>
          <w:lang w:val="es-CO"/>
        </w:rPr>
      </w:pPr>
      <w:r w:rsidRPr="00143F11">
        <w:rPr>
          <w:rFonts w:ascii="Garamond" w:hAnsi="Garamond"/>
          <w:lang w:val="es-CO"/>
        </w:rPr>
        <w:t xml:space="preserve">Control de calidad de materiales mediante la revisión de ensayos de laboratorio, certificaciones y cumplimiento de especificaciones técnicas. </w:t>
      </w:r>
    </w:p>
    <w:p w14:paraId="572795A9" w14:textId="77777777" w:rsidR="00143F11" w:rsidRPr="00143F11" w:rsidRDefault="00143F11" w:rsidP="00A23238">
      <w:pPr>
        <w:widowControl/>
        <w:numPr>
          <w:ilvl w:val="0"/>
          <w:numId w:val="19"/>
        </w:numPr>
        <w:spacing w:before="100" w:beforeAutospacing="1" w:after="100" w:afterAutospacing="1"/>
        <w:jc w:val="both"/>
        <w:rPr>
          <w:rFonts w:ascii="Garamond" w:hAnsi="Garamond"/>
          <w:lang w:val="es-CO"/>
        </w:rPr>
      </w:pPr>
      <w:r w:rsidRPr="00143F11">
        <w:rPr>
          <w:rFonts w:ascii="Garamond" w:hAnsi="Garamond"/>
          <w:lang w:val="es-CO"/>
        </w:rPr>
        <w:t xml:space="preserve">Supervisión de la ejecución de actividades constructivas tales como zonas duras, senderos, superficies recreativas, instalación de mobiliario urbano, elementos infantiles y </w:t>
      </w:r>
      <w:proofErr w:type="spellStart"/>
      <w:r w:rsidRPr="00143F11">
        <w:rPr>
          <w:rFonts w:ascii="Garamond" w:hAnsi="Garamond"/>
          <w:lang w:val="es-CO"/>
        </w:rPr>
        <w:t>biosaludables</w:t>
      </w:r>
      <w:proofErr w:type="spellEnd"/>
      <w:r w:rsidRPr="00143F11">
        <w:rPr>
          <w:rFonts w:ascii="Garamond" w:hAnsi="Garamond"/>
          <w:lang w:val="es-CO"/>
        </w:rPr>
        <w:t xml:space="preserve">, así como acabados y obras complementarias. </w:t>
      </w:r>
    </w:p>
    <w:p w14:paraId="24A56B28" w14:textId="77777777" w:rsidR="00143F11" w:rsidRPr="00143F11" w:rsidRDefault="00143F11" w:rsidP="00A23238">
      <w:pPr>
        <w:widowControl/>
        <w:numPr>
          <w:ilvl w:val="0"/>
          <w:numId w:val="19"/>
        </w:numPr>
        <w:spacing w:before="100" w:beforeAutospacing="1" w:after="100" w:afterAutospacing="1"/>
        <w:jc w:val="both"/>
        <w:rPr>
          <w:rFonts w:ascii="Garamond" w:hAnsi="Garamond"/>
          <w:lang w:val="es-CO"/>
        </w:rPr>
      </w:pPr>
      <w:r w:rsidRPr="00143F11">
        <w:rPr>
          <w:rFonts w:ascii="Garamond" w:hAnsi="Garamond"/>
          <w:lang w:val="es-CO"/>
        </w:rPr>
        <w:t xml:space="preserve">Control del cumplimiento de las obligaciones en materia ambiental, incluyendo manejo de residuos de construcción y demolición, control de impactos y cumplimiento de los planes ambientales aprobados. </w:t>
      </w:r>
    </w:p>
    <w:p w14:paraId="790CB38C" w14:textId="77777777" w:rsidR="00143F11" w:rsidRPr="00143F11" w:rsidRDefault="00143F11" w:rsidP="00A23238">
      <w:pPr>
        <w:widowControl/>
        <w:numPr>
          <w:ilvl w:val="0"/>
          <w:numId w:val="19"/>
        </w:numPr>
        <w:spacing w:before="100" w:beforeAutospacing="1" w:after="100" w:afterAutospacing="1"/>
        <w:jc w:val="both"/>
        <w:rPr>
          <w:rFonts w:ascii="Garamond" w:hAnsi="Garamond"/>
          <w:lang w:val="es-CO"/>
        </w:rPr>
      </w:pPr>
      <w:r w:rsidRPr="00143F11">
        <w:rPr>
          <w:rFonts w:ascii="Garamond" w:hAnsi="Garamond"/>
          <w:lang w:val="es-CO"/>
        </w:rPr>
        <w:t xml:space="preserve">Seguimiento a la implementación del Sistema de Gestión de Seguridad y Salud en el Trabajo (SG-SST), verificando condiciones seguras en obra y cumplimiento de la normatividad vigente. </w:t>
      </w:r>
    </w:p>
    <w:p w14:paraId="7750EFC7" w14:textId="77777777" w:rsidR="00143F11" w:rsidRPr="00143F11" w:rsidRDefault="00143F11" w:rsidP="00A23238">
      <w:pPr>
        <w:widowControl/>
        <w:numPr>
          <w:ilvl w:val="0"/>
          <w:numId w:val="19"/>
        </w:numPr>
        <w:spacing w:before="100" w:beforeAutospacing="1" w:after="100" w:afterAutospacing="1"/>
        <w:jc w:val="both"/>
        <w:rPr>
          <w:rFonts w:ascii="Garamond" w:hAnsi="Garamond"/>
          <w:lang w:val="es-CO"/>
        </w:rPr>
      </w:pPr>
      <w:r w:rsidRPr="00143F11">
        <w:rPr>
          <w:rFonts w:ascii="Garamond" w:hAnsi="Garamond"/>
          <w:lang w:val="es-CO"/>
        </w:rPr>
        <w:t xml:space="preserve">Control administrativo y financiero del contrato, incluyendo la revisión y aprobación de actas de obra, cortes de obra, cuentas de cobro, balance financiero y control del presupuesto ejecutado. </w:t>
      </w:r>
    </w:p>
    <w:p w14:paraId="770B911D" w14:textId="77777777" w:rsidR="00143F11" w:rsidRPr="00143F11" w:rsidRDefault="00143F11" w:rsidP="00A23238">
      <w:pPr>
        <w:widowControl/>
        <w:numPr>
          <w:ilvl w:val="0"/>
          <w:numId w:val="19"/>
        </w:numPr>
        <w:spacing w:before="100" w:beforeAutospacing="1" w:after="100" w:afterAutospacing="1"/>
        <w:jc w:val="both"/>
        <w:rPr>
          <w:rFonts w:ascii="Garamond" w:hAnsi="Garamond"/>
          <w:lang w:val="es-CO"/>
        </w:rPr>
      </w:pPr>
      <w:r w:rsidRPr="00143F11">
        <w:rPr>
          <w:rFonts w:ascii="Garamond" w:hAnsi="Garamond"/>
          <w:lang w:val="es-CO"/>
        </w:rPr>
        <w:t xml:space="preserve">Verificación del cumplimiento de las obligaciones sociales, incluyendo procesos de socialización, atención a la comunidad y gestión de impactos sociales derivados de la ejecución del proyecto. </w:t>
      </w:r>
    </w:p>
    <w:p w14:paraId="11CAEE10" w14:textId="77777777" w:rsidR="00143F11" w:rsidRPr="00143F11" w:rsidRDefault="00143F11" w:rsidP="00A23238">
      <w:pPr>
        <w:widowControl/>
        <w:numPr>
          <w:ilvl w:val="0"/>
          <w:numId w:val="19"/>
        </w:numPr>
        <w:spacing w:before="100" w:beforeAutospacing="1" w:after="100" w:afterAutospacing="1"/>
        <w:jc w:val="both"/>
        <w:rPr>
          <w:rFonts w:ascii="Garamond" w:hAnsi="Garamond"/>
          <w:lang w:val="es-CO"/>
        </w:rPr>
      </w:pPr>
      <w:r w:rsidRPr="00143F11">
        <w:rPr>
          <w:rFonts w:ascii="Garamond" w:hAnsi="Garamond"/>
          <w:lang w:val="es-CO"/>
        </w:rPr>
        <w:t xml:space="preserve">Revisión y aprobación de modificaciones contractuales, en caso de requerirse, garantizando su debida justificación técnica, jurídica y financiera. </w:t>
      </w:r>
    </w:p>
    <w:p w14:paraId="311B9E46" w14:textId="77777777" w:rsidR="00143F11" w:rsidRPr="00143F11" w:rsidRDefault="00143F11" w:rsidP="00143F11">
      <w:pPr>
        <w:widowControl/>
        <w:spacing w:before="100" w:beforeAutospacing="1" w:after="100" w:afterAutospacing="1"/>
        <w:jc w:val="both"/>
        <w:rPr>
          <w:rFonts w:ascii="Garamond" w:hAnsi="Garamond"/>
          <w:lang w:val="es-CO"/>
        </w:rPr>
      </w:pPr>
      <w:r w:rsidRPr="00143F11">
        <w:rPr>
          <w:rFonts w:ascii="Garamond" w:hAnsi="Garamond"/>
          <w:lang w:val="es-CO"/>
        </w:rPr>
        <w:t>Adicionalmente, la interventoría deberá ejercer un control permanente sobre el cumplimiento de las obligaciones contractuales por parte del contratista, garantizando la trazabilidad de todas las actuaciones, la adecuada documentación del proyecto y la generación de informes periódicos que den cuenta del avance físico, financiero y administrativo de la obra.</w:t>
      </w:r>
    </w:p>
    <w:p w14:paraId="0B93C1B1" w14:textId="77777777" w:rsidR="00143F11" w:rsidRPr="00143F11" w:rsidRDefault="00143F11" w:rsidP="00143F11">
      <w:pPr>
        <w:widowControl/>
        <w:spacing w:before="100" w:beforeAutospacing="1" w:after="100" w:afterAutospacing="1"/>
        <w:jc w:val="both"/>
        <w:rPr>
          <w:rFonts w:ascii="Garamond" w:hAnsi="Garamond"/>
          <w:lang w:val="es-CO"/>
        </w:rPr>
      </w:pPr>
      <w:r w:rsidRPr="00143F11">
        <w:rPr>
          <w:rFonts w:ascii="Garamond" w:hAnsi="Garamond"/>
          <w:lang w:val="es-CO"/>
        </w:rPr>
        <w:t>Así mismo, deberá velar por la correcta inversión de los recursos públicos, asegurando el cumplimiento de los principios de economía, eficiencia, eficacia, transparencia y responsabilidad que rigen la contratación estatal, y garantizando que el proyecto cumpla con los estándares de calidad exigidos para su recibo a satisfacción.</w:t>
      </w:r>
    </w:p>
    <w:p w14:paraId="3E7A6A1C" w14:textId="77777777" w:rsidR="00143F11" w:rsidRPr="00143F11" w:rsidRDefault="00143F11" w:rsidP="00143F11">
      <w:pPr>
        <w:widowControl/>
        <w:spacing w:before="100" w:beforeAutospacing="1" w:after="100" w:afterAutospacing="1"/>
        <w:jc w:val="both"/>
        <w:rPr>
          <w:rFonts w:ascii="Garamond" w:hAnsi="Garamond"/>
          <w:lang w:val="es-CO"/>
        </w:rPr>
      </w:pPr>
      <w:r w:rsidRPr="00143F11">
        <w:rPr>
          <w:rFonts w:ascii="Garamond" w:hAnsi="Garamond"/>
          <w:lang w:val="es-CO"/>
        </w:rPr>
        <w:t>Lo anterior se enmarca en los objetivos del proyecto de inversión No. 2905 “Tunjuelito fortalece sus parques y embellece sus espacios”, orientado a la generación de espacios públicos adecuados que promuevan la recreación, el deporte, la integración social y el mejoramiento de la calidad de vida de los habitantes de la localidad, consolidando un entorno urbano más seguro, funcional y sostenible.</w:t>
      </w:r>
    </w:p>
    <w:p w14:paraId="5E1DBFFA" w14:textId="77777777" w:rsidR="00143F11" w:rsidRPr="00C04C4B" w:rsidRDefault="00143F11" w:rsidP="00143F11">
      <w:pPr>
        <w:jc w:val="both"/>
        <w:rPr>
          <w:rFonts w:ascii="Garamond" w:eastAsia="Garamond" w:hAnsi="Garamond" w:cs="Garamond"/>
        </w:rPr>
      </w:pPr>
      <w:r w:rsidRPr="00C04C4B">
        <w:rPr>
          <w:rFonts w:ascii="Garamond" w:eastAsia="Garamond" w:hAnsi="Garamond" w:cs="Garamond"/>
        </w:rPr>
        <w:t xml:space="preserve">El Fondo de Desarrollo Local de Tunjuelito, en desarrollo de las competencias asignadas a las Alcaldías Locales y en cumplimiento del Plan de Desarrollo Local vigente, ha venido adelantando en diferentes vigencias acciones orientadas al fortalecimiento del espacio público y la infraestructura recreativa de la localidad, mediante la ejecución de proyectos de inversión asociados a parques y escenarios </w:t>
      </w:r>
      <w:proofErr w:type="spellStart"/>
      <w:r w:rsidRPr="00C04C4B">
        <w:rPr>
          <w:rFonts w:ascii="Garamond" w:eastAsia="Garamond" w:hAnsi="Garamond" w:cs="Garamond"/>
        </w:rPr>
        <w:t>recreodeportivos</w:t>
      </w:r>
      <w:proofErr w:type="spellEnd"/>
      <w:r w:rsidRPr="00C04C4B">
        <w:rPr>
          <w:rFonts w:ascii="Garamond" w:eastAsia="Garamond" w:hAnsi="Garamond" w:cs="Garamond"/>
        </w:rPr>
        <w:t>.</w:t>
      </w:r>
    </w:p>
    <w:p w14:paraId="365AD381" w14:textId="77777777" w:rsidR="00143F11" w:rsidRPr="00C04C4B" w:rsidRDefault="00143F11" w:rsidP="00143F11">
      <w:pPr>
        <w:jc w:val="both"/>
        <w:rPr>
          <w:rFonts w:ascii="Garamond" w:eastAsia="Garamond" w:hAnsi="Garamond" w:cs="Garamond"/>
        </w:rPr>
      </w:pPr>
    </w:p>
    <w:p w14:paraId="5570D51A" w14:textId="77777777" w:rsidR="00143F11" w:rsidRPr="00C04C4B" w:rsidRDefault="00143F11" w:rsidP="00143F11">
      <w:pPr>
        <w:jc w:val="both"/>
        <w:rPr>
          <w:rFonts w:ascii="Garamond" w:eastAsia="Garamond" w:hAnsi="Garamond" w:cs="Garamond"/>
        </w:rPr>
      </w:pPr>
      <w:r w:rsidRPr="00C04C4B">
        <w:rPr>
          <w:rFonts w:ascii="Garamond" w:eastAsia="Garamond" w:hAnsi="Garamond" w:cs="Garamond"/>
        </w:rPr>
        <w:t>En particular, en vigencias anteriores se han desarrollado procesos contractuales relacionados con la intervención de espacios públicos, así como la contratación de servicios de interventoría o supervisión técnica especializada, los cuales han permitido consolidar capacidades institucionales en la estructuración, ejecución y control de proyectos de infraestructura.</w:t>
      </w:r>
    </w:p>
    <w:p w14:paraId="64AC2D18" w14:textId="77777777" w:rsidR="00143F11" w:rsidRPr="00C04C4B" w:rsidRDefault="00143F11" w:rsidP="00143F11">
      <w:pPr>
        <w:jc w:val="both"/>
        <w:rPr>
          <w:rFonts w:ascii="Garamond" w:eastAsia="Garamond" w:hAnsi="Garamond" w:cs="Garamond"/>
        </w:rPr>
      </w:pPr>
    </w:p>
    <w:p w14:paraId="3C4AEC14" w14:textId="77777777" w:rsidR="00143F11" w:rsidRPr="00C04C4B" w:rsidRDefault="00143F11" w:rsidP="00143F11">
      <w:pPr>
        <w:jc w:val="both"/>
        <w:rPr>
          <w:rFonts w:ascii="Garamond" w:eastAsia="Garamond" w:hAnsi="Garamond" w:cs="Garamond"/>
        </w:rPr>
      </w:pPr>
      <w:r w:rsidRPr="00C04C4B">
        <w:rPr>
          <w:rFonts w:ascii="Garamond" w:eastAsia="Garamond" w:hAnsi="Garamond" w:cs="Garamond"/>
        </w:rPr>
        <w:t>Estas experiencias han evidenciado la importancia de contar con mecanismos de control técnico independientes que garanticen la adecuada ejecución de los contratos de obra, especialmente en lo relacionado con la verificación de cantidades de obra, cumplimiento de especificaciones técnicas, control de calidad de materiales, seguimiento a cronogramas y correcta inversión de los recursos públicos.</w:t>
      </w:r>
    </w:p>
    <w:p w14:paraId="214F867F" w14:textId="77777777" w:rsidR="00143F11" w:rsidRPr="00C04C4B" w:rsidRDefault="00143F11" w:rsidP="00143F11">
      <w:pPr>
        <w:jc w:val="both"/>
        <w:rPr>
          <w:rFonts w:ascii="Garamond" w:eastAsia="Garamond" w:hAnsi="Garamond" w:cs="Garamond"/>
        </w:rPr>
      </w:pPr>
    </w:p>
    <w:p w14:paraId="02E777B4" w14:textId="77777777" w:rsidR="00143F11" w:rsidRPr="00C04C4B" w:rsidRDefault="00143F11" w:rsidP="00143F11">
      <w:pPr>
        <w:jc w:val="both"/>
        <w:rPr>
          <w:rFonts w:ascii="Garamond" w:eastAsia="Garamond" w:hAnsi="Garamond" w:cs="Garamond"/>
        </w:rPr>
      </w:pPr>
      <w:r w:rsidRPr="00C04C4B">
        <w:rPr>
          <w:rFonts w:ascii="Garamond" w:eastAsia="Garamond" w:hAnsi="Garamond" w:cs="Garamond"/>
        </w:rPr>
        <w:t>Así mismo, a través de los diferentes canales de participación ciudadana, la administración local ha identificado la necesidad de fortalecer los espacios públicos destinados a la recreación y el deporte, lo cual ha sido incorporado dentro de los procesos de planeación y priorización de proyectos de inversión.</w:t>
      </w:r>
    </w:p>
    <w:p w14:paraId="04E7E566" w14:textId="77777777" w:rsidR="00143F11" w:rsidRPr="00C04C4B" w:rsidRDefault="00143F11" w:rsidP="00143F11">
      <w:pPr>
        <w:jc w:val="both"/>
        <w:rPr>
          <w:rFonts w:ascii="Garamond" w:eastAsia="Garamond" w:hAnsi="Garamond" w:cs="Garamond"/>
        </w:rPr>
      </w:pPr>
    </w:p>
    <w:p w14:paraId="4F582597" w14:textId="77777777" w:rsidR="00143F11" w:rsidRPr="00C04C4B" w:rsidRDefault="00143F11" w:rsidP="00143F11">
      <w:pPr>
        <w:jc w:val="both"/>
        <w:rPr>
          <w:rFonts w:ascii="Garamond" w:eastAsia="Garamond" w:hAnsi="Garamond" w:cs="Garamond"/>
        </w:rPr>
      </w:pPr>
      <w:r w:rsidRPr="00C04C4B">
        <w:rPr>
          <w:rFonts w:ascii="Garamond" w:eastAsia="Garamond" w:hAnsi="Garamond" w:cs="Garamond"/>
        </w:rPr>
        <w:t xml:space="preserve">En este contexto, y como resultado de los procesos de planeación técnica, presupuestal y social, se estructuró el proyecto de construcción del parque identificado con código </w:t>
      </w:r>
      <w:proofErr w:type="spellStart"/>
      <w:r w:rsidRPr="00C04C4B">
        <w:rPr>
          <w:rFonts w:ascii="Garamond" w:eastAsia="Garamond" w:hAnsi="Garamond" w:cs="Garamond"/>
        </w:rPr>
        <w:t>IDRD</w:t>
      </w:r>
      <w:proofErr w:type="spellEnd"/>
      <w:r w:rsidRPr="00C04C4B">
        <w:rPr>
          <w:rFonts w:ascii="Garamond" w:eastAsia="Garamond" w:hAnsi="Garamond" w:cs="Garamond"/>
        </w:rPr>
        <w:t xml:space="preserve"> 06-087, ubicado en la Urbanización El Tunal II, Calle 55 Sur No. 24C – 05, el cual constituye una intervención orientada a la generación de un nuevo espacio público que cumpla con condiciones adecuadas de funcionalidad, accesibilidad, seguridad y calidad para la comunidad.</w:t>
      </w:r>
    </w:p>
    <w:p w14:paraId="03A6F0C9" w14:textId="77777777" w:rsidR="00143F11" w:rsidRPr="00C04C4B" w:rsidRDefault="00143F11" w:rsidP="00143F11">
      <w:pPr>
        <w:jc w:val="both"/>
        <w:rPr>
          <w:rFonts w:ascii="Garamond" w:eastAsia="Garamond" w:hAnsi="Garamond" w:cs="Garamond"/>
        </w:rPr>
      </w:pPr>
    </w:p>
    <w:p w14:paraId="366FF888" w14:textId="77777777" w:rsidR="00143F11" w:rsidRPr="00C04C4B" w:rsidRDefault="00143F11" w:rsidP="00143F11">
      <w:pPr>
        <w:jc w:val="both"/>
        <w:rPr>
          <w:rFonts w:ascii="Garamond" w:eastAsia="Garamond" w:hAnsi="Garamond" w:cs="Garamond"/>
        </w:rPr>
      </w:pPr>
      <w:r w:rsidRPr="00C04C4B">
        <w:rPr>
          <w:rFonts w:ascii="Garamond" w:eastAsia="Garamond" w:hAnsi="Garamond" w:cs="Garamond"/>
        </w:rPr>
        <w:t>La relación de estos antecedentes con el proceso actual es directa, en la medida en que las experiencias previas han permitido establecer la necesidad de contar con una interventoría que ejerza un control integral sobre la ejecución del contrato de obra, garantizando el cumplimiento de los estudios y diseños, las especificaciones técnicas, las condiciones contractuales y la normatividad vigente aplicable.</w:t>
      </w:r>
    </w:p>
    <w:p w14:paraId="009E4503" w14:textId="77777777" w:rsidR="00143F11" w:rsidRPr="00C04C4B" w:rsidRDefault="00143F11" w:rsidP="00143F11">
      <w:pPr>
        <w:jc w:val="both"/>
        <w:rPr>
          <w:rFonts w:ascii="Garamond" w:eastAsia="Garamond" w:hAnsi="Garamond" w:cs="Garamond"/>
        </w:rPr>
      </w:pPr>
    </w:p>
    <w:p w14:paraId="52CA4221" w14:textId="77777777" w:rsidR="00143F11" w:rsidRPr="00C04C4B" w:rsidRDefault="00143F11" w:rsidP="00143F11">
      <w:pPr>
        <w:jc w:val="both"/>
        <w:rPr>
          <w:rFonts w:ascii="Garamond" w:eastAsia="Garamond" w:hAnsi="Garamond" w:cs="Garamond"/>
        </w:rPr>
      </w:pPr>
      <w:r w:rsidRPr="00C04C4B">
        <w:rPr>
          <w:rFonts w:ascii="Garamond" w:eastAsia="Garamond" w:hAnsi="Garamond" w:cs="Garamond"/>
        </w:rPr>
        <w:t>En esa medida, la presente interventoría se concibe como un instrumento fundamental para asegurar la correcta ejecución del proyecto, fortalecer los procesos de control institucional y garantizar la adecuada inversión de los recursos públicos, en concordancia con los principios de la contratación estatal establecidos en la Ley 80 de 1993.</w:t>
      </w:r>
    </w:p>
    <w:p w14:paraId="3457D51D" w14:textId="77777777" w:rsidR="00143F11" w:rsidRPr="00C04C4B" w:rsidRDefault="00143F11" w:rsidP="00143F11">
      <w:pPr>
        <w:jc w:val="both"/>
        <w:rPr>
          <w:rFonts w:ascii="Garamond" w:eastAsia="Garamond" w:hAnsi="Garamond" w:cs="Garamond"/>
        </w:rPr>
      </w:pPr>
    </w:p>
    <w:p w14:paraId="6A8DB145" w14:textId="289798C5" w:rsidR="00143F11" w:rsidRPr="00C04C4B" w:rsidRDefault="00143F11" w:rsidP="00143F11">
      <w:pPr>
        <w:jc w:val="both"/>
        <w:rPr>
          <w:rFonts w:ascii="Garamond" w:eastAsia="Garamond" w:hAnsi="Garamond" w:cs="Garamond"/>
        </w:rPr>
      </w:pPr>
      <w:r w:rsidRPr="00C04C4B">
        <w:rPr>
          <w:rFonts w:ascii="Garamond" w:eastAsia="Garamond" w:hAnsi="Garamond" w:cs="Garamond"/>
        </w:rPr>
        <w:t>Así mismo, la incorporación de estos antecedentes permite evidenciar que el proceso actual no corresponde a una actuación aislada, sino a la continuidad de la gestión pública local orientada al desarrollo de infraestructura de calidad, asegurando coherencia entre la planeación, la ejecución y el control de los proyectos financiados con recursos de inversión.</w:t>
      </w:r>
    </w:p>
    <w:p w14:paraId="3B57D489" w14:textId="77777777" w:rsidR="00143F11" w:rsidRPr="00C04C4B" w:rsidRDefault="00143F11">
      <w:pPr>
        <w:jc w:val="both"/>
        <w:rPr>
          <w:rFonts w:ascii="Garamond" w:eastAsia="Garamond" w:hAnsi="Garamond" w:cs="Garamond"/>
        </w:rPr>
      </w:pPr>
    </w:p>
    <w:p w14:paraId="1F6CDD8B" w14:textId="7512EB60" w:rsidR="0022086B" w:rsidRPr="00C04C4B" w:rsidRDefault="0065443B" w:rsidP="00143F11">
      <w:pPr>
        <w:jc w:val="both"/>
        <w:rPr>
          <w:rFonts w:ascii="Garamond" w:eastAsia="Garamond" w:hAnsi="Garamond" w:cs="Garamond"/>
        </w:rPr>
      </w:pPr>
      <w:r w:rsidRPr="00C04C4B">
        <w:rPr>
          <w:rFonts w:ascii="Garamond" w:eastAsia="Garamond" w:hAnsi="Garamond" w:cs="Garamond"/>
        </w:rPr>
        <w:t>Por lo anterior y en concordancia con el plan de desarrollo local de Tunjuelito: "Tunjuelito Camina</w:t>
      </w:r>
      <w:r w:rsidR="00143F11" w:rsidRPr="00C04C4B">
        <w:rPr>
          <w:rFonts w:ascii="Garamond" w:eastAsia="Garamond" w:hAnsi="Garamond" w:cs="Garamond"/>
        </w:rPr>
        <w:t xml:space="preserve"> </w:t>
      </w:r>
      <w:r w:rsidRPr="00C04C4B">
        <w:rPr>
          <w:rFonts w:ascii="Garamond" w:eastAsia="Garamond" w:hAnsi="Garamond" w:cs="Garamond"/>
        </w:rPr>
        <w:t>Segura” 2025-2028, se proyectó lo señalado a continuación:</w:t>
      </w:r>
    </w:p>
    <w:p w14:paraId="2E7BCD60" w14:textId="77777777" w:rsidR="0022086B" w:rsidRPr="00C04C4B" w:rsidRDefault="0022086B">
      <w:pPr>
        <w:jc w:val="both"/>
        <w:rPr>
          <w:rFonts w:ascii="Garamond" w:eastAsia="Garamond" w:hAnsi="Garamond" w:cs="Garamond"/>
        </w:rPr>
      </w:pPr>
    </w:p>
    <w:tbl>
      <w:tblPr>
        <w:tblStyle w:val="af7"/>
        <w:tblW w:w="9388"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128"/>
        <w:gridCol w:w="3128"/>
        <w:gridCol w:w="3132"/>
      </w:tblGrid>
      <w:tr w:rsidR="0022086B" w:rsidRPr="00C04C4B" w14:paraId="392DB926" w14:textId="77777777">
        <w:trPr>
          <w:trHeight w:val="761"/>
        </w:trPr>
        <w:tc>
          <w:tcPr>
            <w:tcW w:w="3128" w:type="dxa"/>
            <w:shd w:val="clear" w:color="auto" w:fill="D0CECE"/>
          </w:tcPr>
          <w:p w14:paraId="5E82B856" w14:textId="77777777" w:rsidR="0022086B" w:rsidRPr="00C04C4B" w:rsidRDefault="0022086B">
            <w:pPr>
              <w:jc w:val="both"/>
              <w:rPr>
                <w:rFonts w:ascii="Garamond" w:eastAsia="Garamond" w:hAnsi="Garamond" w:cs="Garamond"/>
              </w:rPr>
            </w:pPr>
          </w:p>
          <w:p w14:paraId="57E69AA0" w14:textId="77777777" w:rsidR="0022086B" w:rsidRPr="00C04C4B" w:rsidRDefault="0022086B">
            <w:pPr>
              <w:jc w:val="both"/>
              <w:rPr>
                <w:rFonts w:ascii="Garamond" w:eastAsia="Garamond" w:hAnsi="Garamond" w:cs="Garamond"/>
              </w:rPr>
            </w:pPr>
          </w:p>
          <w:p w14:paraId="44C6CEBB" w14:textId="77777777" w:rsidR="0022086B" w:rsidRPr="00C04C4B" w:rsidRDefault="0065443B">
            <w:pPr>
              <w:jc w:val="both"/>
              <w:rPr>
                <w:rFonts w:ascii="Garamond" w:eastAsia="Garamond" w:hAnsi="Garamond" w:cs="Garamond"/>
              </w:rPr>
            </w:pPr>
            <w:r w:rsidRPr="00C04C4B">
              <w:rPr>
                <w:rFonts w:ascii="Garamond" w:eastAsia="Garamond" w:hAnsi="Garamond" w:cs="Garamond"/>
              </w:rPr>
              <w:t>Programa</w:t>
            </w:r>
          </w:p>
        </w:tc>
        <w:tc>
          <w:tcPr>
            <w:tcW w:w="3128" w:type="dxa"/>
            <w:shd w:val="clear" w:color="auto" w:fill="D0CECE"/>
          </w:tcPr>
          <w:p w14:paraId="19F5B746" w14:textId="77777777" w:rsidR="0022086B" w:rsidRPr="00C04C4B" w:rsidRDefault="0065443B">
            <w:pPr>
              <w:jc w:val="both"/>
              <w:rPr>
                <w:rFonts w:ascii="Garamond" w:eastAsia="Garamond" w:hAnsi="Garamond" w:cs="Garamond"/>
              </w:rPr>
            </w:pPr>
            <w:r w:rsidRPr="00C04C4B">
              <w:rPr>
                <w:rFonts w:ascii="Garamond" w:eastAsia="Garamond" w:hAnsi="Garamond" w:cs="Garamond"/>
              </w:rPr>
              <w:t xml:space="preserve">Meta </w:t>
            </w:r>
            <w:proofErr w:type="spellStart"/>
            <w:r w:rsidRPr="00C04C4B">
              <w:rPr>
                <w:rFonts w:ascii="Garamond" w:eastAsia="Garamond" w:hAnsi="Garamond" w:cs="Garamond"/>
              </w:rPr>
              <w:t>PDL</w:t>
            </w:r>
            <w:proofErr w:type="spellEnd"/>
          </w:p>
        </w:tc>
        <w:tc>
          <w:tcPr>
            <w:tcW w:w="3132" w:type="dxa"/>
            <w:shd w:val="clear" w:color="auto" w:fill="D0CECE"/>
          </w:tcPr>
          <w:p w14:paraId="0284BC05" w14:textId="77777777" w:rsidR="0022086B" w:rsidRPr="00C04C4B" w:rsidRDefault="0065443B">
            <w:pPr>
              <w:jc w:val="both"/>
              <w:rPr>
                <w:rFonts w:ascii="Garamond" w:eastAsia="Garamond" w:hAnsi="Garamond" w:cs="Garamond"/>
              </w:rPr>
            </w:pPr>
            <w:r w:rsidRPr="00C04C4B">
              <w:rPr>
                <w:rFonts w:ascii="Garamond" w:eastAsia="Garamond" w:hAnsi="Garamond" w:cs="Garamond"/>
              </w:rPr>
              <w:t>Indicador</w:t>
            </w:r>
          </w:p>
        </w:tc>
      </w:tr>
      <w:tr w:rsidR="0022086B" w:rsidRPr="00C04C4B" w14:paraId="18D8BC04" w14:textId="77777777">
        <w:trPr>
          <w:trHeight w:val="968"/>
        </w:trPr>
        <w:tc>
          <w:tcPr>
            <w:tcW w:w="3128" w:type="dxa"/>
          </w:tcPr>
          <w:p w14:paraId="2A24BC87" w14:textId="77777777" w:rsidR="0022086B" w:rsidRPr="00C04C4B" w:rsidRDefault="0065443B">
            <w:pPr>
              <w:jc w:val="both"/>
              <w:rPr>
                <w:rFonts w:ascii="Garamond" w:eastAsia="Garamond" w:hAnsi="Garamond" w:cs="Garamond"/>
              </w:rPr>
            </w:pPr>
            <w:r w:rsidRPr="00C04C4B">
              <w:rPr>
                <w:rFonts w:ascii="Garamond" w:eastAsia="Garamond" w:hAnsi="Garamond" w:cs="Garamond"/>
              </w:rPr>
              <w:t>Revitalización y renovación urbana y</w:t>
            </w:r>
          </w:p>
          <w:p w14:paraId="5E6149BA" w14:textId="77777777" w:rsidR="0022086B" w:rsidRPr="00C04C4B" w:rsidRDefault="0065443B">
            <w:pPr>
              <w:jc w:val="both"/>
              <w:rPr>
                <w:rFonts w:ascii="Garamond" w:eastAsia="Garamond" w:hAnsi="Garamond" w:cs="Garamond"/>
              </w:rPr>
            </w:pPr>
            <w:r w:rsidRPr="00C04C4B">
              <w:rPr>
                <w:rFonts w:ascii="Garamond" w:eastAsia="Garamond" w:hAnsi="Garamond" w:cs="Garamond"/>
              </w:rPr>
              <w:t>rural con inclusión</w:t>
            </w:r>
          </w:p>
        </w:tc>
        <w:tc>
          <w:tcPr>
            <w:tcW w:w="3128" w:type="dxa"/>
          </w:tcPr>
          <w:p w14:paraId="6C70A81A" w14:textId="5F81CF27" w:rsidR="0022086B" w:rsidRPr="00C04C4B" w:rsidRDefault="00143F11">
            <w:pPr>
              <w:jc w:val="both"/>
              <w:rPr>
                <w:rFonts w:ascii="Garamond" w:eastAsia="Garamond" w:hAnsi="Garamond" w:cs="Garamond"/>
              </w:rPr>
            </w:pPr>
            <w:r w:rsidRPr="00C04C4B">
              <w:rPr>
                <w:rFonts w:ascii="Garamond" w:eastAsia="Garamond" w:hAnsi="Garamond" w:cs="Garamond"/>
              </w:rPr>
              <w:t>Construir 4500 m2 de parques de proximidad</w:t>
            </w:r>
          </w:p>
        </w:tc>
        <w:tc>
          <w:tcPr>
            <w:tcW w:w="3132" w:type="dxa"/>
          </w:tcPr>
          <w:p w14:paraId="18EB6043" w14:textId="3A368540" w:rsidR="0022086B" w:rsidRPr="00C04C4B" w:rsidRDefault="00143F11">
            <w:pPr>
              <w:jc w:val="both"/>
              <w:rPr>
                <w:rFonts w:ascii="Garamond" w:eastAsia="Garamond" w:hAnsi="Garamond" w:cs="Garamond"/>
              </w:rPr>
            </w:pPr>
            <w:r w:rsidRPr="00C04C4B">
              <w:rPr>
                <w:rFonts w:ascii="Garamond" w:eastAsia="Garamond" w:hAnsi="Garamond" w:cs="Garamond"/>
              </w:rPr>
              <w:t>M2 de parques construidos</w:t>
            </w:r>
          </w:p>
        </w:tc>
      </w:tr>
    </w:tbl>
    <w:p w14:paraId="4DB1987B" w14:textId="77777777" w:rsidR="0022086B" w:rsidRPr="00C04C4B" w:rsidRDefault="0065443B">
      <w:pPr>
        <w:ind w:left="1440" w:firstLine="720"/>
        <w:jc w:val="both"/>
        <w:rPr>
          <w:rFonts w:ascii="Garamond" w:eastAsia="Garamond" w:hAnsi="Garamond" w:cs="Garamond"/>
        </w:rPr>
      </w:pPr>
      <w:r w:rsidRPr="00C04C4B">
        <w:rPr>
          <w:rFonts w:ascii="Garamond" w:eastAsia="Garamond" w:hAnsi="Garamond" w:cs="Garamond"/>
        </w:rPr>
        <w:lastRenderedPageBreak/>
        <w:t xml:space="preserve">Tabla No. 2 Fuente: Creación Propia </w:t>
      </w:r>
      <w:proofErr w:type="spellStart"/>
      <w:r w:rsidRPr="00C04C4B">
        <w:rPr>
          <w:rFonts w:ascii="Garamond" w:eastAsia="Garamond" w:hAnsi="Garamond" w:cs="Garamond"/>
        </w:rPr>
        <w:t>FDLT</w:t>
      </w:r>
      <w:proofErr w:type="spellEnd"/>
    </w:p>
    <w:p w14:paraId="313374E9" w14:textId="77777777" w:rsidR="0022086B" w:rsidRPr="00C04C4B" w:rsidRDefault="0022086B">
      <w:pPr>
        <w:jc w:val="both"/>
        <w:rPr>
          <w:rFonts w:ascii="Garamond" w:eastAsia="Garamond" w:hAnsi="Garamond" w:cs="Garamond"/>
        </w:rPr>
      </w:pPr>
    </w:p>
    <w:p w14:paraId="1E18DA66" w14:textId="77777777" w:rsidR="0022086B" w:rsidRPr="00C04C4B" w:rsidRDefault="0065443B">
      <w:pPr>
        <w:jc w:val="both"/>
        <w:rPr>
          <w:rFonts w:ascii="Garamond" w:eastAsia="Garamond" w:hAnsi="Garamond" w:cs="Garamond"/>
        </w:rPr>
      </w:pPr>
      <w:r w:rsidRPr="00C04C4B">
        <w:rPr>
          <w:rFonts w:ascii="Garamond" w:eastAsia="Garamond" w:hAnsi="Garamond" w:cs="Garamond"/>
        </w:rPr>
        <w:t xml:space="preserve">Es así como el </w:t>
      </w:r>
      <w:proofErr w:type="spellStart"/>
      <w:r w:rsidRPr="00C04C4B">
        <w:rPr>
          <w:rFonts w:ascii="Garamond" w:eastAsia="Garamond" w:hAnsi="Garamond" w:cs="Garamond"/>
        </w:rPr>
        <w:t>FDLT</w:t>
      </w:r>
      <w:proofErr w:type="spellEnd"/>
      <w:r w:rsidRPr="00C04C4B">
        <w:rPr>
          <w:rFonts w:ascii="Garamond" w:eastAsia="Garamond" w:hAnsi="Garamond" w:cs="Garamond"/>
        </w:rPr>
        <w:t xml:space="preserve"> ha adelantado las gestiones respectivas para dar alcance a las metas proyectadas mediante el proyecto No. 2905: “Tunjuelito fortalece sus parques y embellece sus espacios.”, el cual cuenta con el avance a continuación señalado:</w:t>
      </w:r>
    </w:p>
    <w:p w14:paraId="3A7F4708" w14:textId="77777777" w:rsidR="0022086B" w:rsidRPr="00C04C4B" w:rsidRDefault="0022086B">
      <w:pPr>
        <w:jc w:val="both"/>
        <w:rPr>
          <w:rFonts w:ascii="Garamond" w:eastAsia="Garamond" w:hAnsi="Garamond" w:cs="Garamond"/>
        </w:rPr>
      </w:pPr>
    </w:p>
    <w:tbl>
      <w:tblPr>
        <w:tblStyle w:val="af8"/>
        <w:tblW w:w="5522" w:type="dxa"/>
        <w:tblInd w:w="26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90"/>
        <w:gridCol w:w="2932"/>
      </w:tblGrid>
      <w:tr w:rsidR="0022086B" w:rsidRPr="00C04C4B" w14:paraId="4795D690" w14:textId="77777777">
        <w:trPr>
          <w:trHeight w:val="481"/>
        </w:trPr>
        <w:tc>
          <w:tcPr>
            <w:tcW w:w="2590" w:type="dxa"/>
            <w:shd w:val="clear" w:color="auto" w:fill="D0CECE"/>
            <w:vAlign w:val="center"/>
          </w:tcPr>
          <w:p w14:paraId="3FD4DECA" w14:textId="3409BD0D" w:rsidR="0022086B" w:rsidRPr="00C04C4B" w:rsidRDefault="0065443B">
            <w:pPr>
              <w:jc w:val="center"/>
              <w:rPr>
                <w:rFonts w:ascii="Garamond" w:eastAsia="Garamond" w:hAnsi="Garamond" w:cs="Garamond"/>
              </w:rPr>
            </w:pPr>
            <w:r w:rsidRPr="00C04C4B">
              <w:rPr>
                <w:rFonts w:ascii="Garamond" w:eastAsia="Garamond" w:hAnsi="Garamond" w:cs="Garamond"/>
              </w:rPr>
              <w:t>Magnitud</w:t>
            </w:r>
            <w:r w:rsidRPr="00C04C4B">
              <w:rPr>
                <w:rFonts w:ascii="Garamond" w:eastAsia="Garamond" w:hAnsi="Garamond" w:cs="Garamond"/>
              </w:rPr>
              <w:tab/>
              <w:t>proyectada</w:t>
            </w:r>
            <w:r w:rsidRPr="00C04C4B">
              <w:rPr>
                <w:rFonts w:ascii="Garamond" w:eastAsia="Garamond" w:hAnsi="Garamond" w:cs="Garamond"/>
              </w:rPr>
              <w:tab/>
              <w:t>Vigencia 202</w:t>
            </w:r>
            <w:r w:rsidR="00143F11" w:rsidRPr="00C04C4B">
              <w:rPr>
                <w:rFonts w:ascii="Garamond" w:eastAsia="Garamond" w:hAnsi="Garamond" w:cs="Garamond"/>
              </w:rPr>
              <w:t>6</w:t>
            </w:r>
          </w:p>
        </w:tc>
        <w:tc>
          <w:tcPr>
            <w:tcW w:w="2932" w:type="dxa"/>
            <w:shd w:val="clear" w:color="auto" w:fill="D0CECE"/>
            <w:vAlign w:val="center"/>
          </w:tcPr>
          <w:p w14:paraId="6473BFE6" w14:textId="58108966" w:rsidR="0022086B" w:rsidRPr="00C04C4B" w:rsidRDefault="0065443B">
            <w:pPr>
              <w:jc w:val="center"/>
              <w:rPr>
                <w:rFonts w:ascii="Garamond" w:eastAsia="Garamond" w:hAnsi="Garamond" w:cs="Garamond"/>
              </w:rPr>
            </w:pPr>
            <w:r w:rsidRPr="00C04C4B">
              <w:rPr>
                <w:rFonts w:ascii="Garamond" w:eastAsia="Garamond" w:hAnsi="Garamond" w:cs="Garamond"/>
              </w:rPr>
              <w:t>Vigencia 202</w:t>
            </w:r>
            <w:r w:rsidR="00143F11" w:rsidRPr="00C04C4B">
              <w:rPr>
                <w:rFonts w:ascii="Garamond" w:eastAsia="Garamond" w:hAnsi="Garamond" w:cs="Garamond"/>
              </w:rPr>
              <w:t>6</w:t>
            </w:r>
          </w:p>
        </w:tc>
      </w:tr>
      <w:tr w:rsidR="0022086B" w:rsidRPr="00C04C4B" w14:paraId="7C368608" w14:textId="77777777">
        <w:trPr>
          <w:trHeight w:val="241"/>
        </w:trPr>
        <w:tc>
          <w:tcPr>
            <w:tcW w:w="2590" w:type="dxa"/>
            <w:vAlign w:val="center"/>
          </w:tcPr>
          <w:p w14:paraId="5A551D64" w14:textId="51965FF7" w:rsidR="0022086B" w:rsidRPr="00C04C4B" w:rsidRDefault="00143F11">
            <w:pPr>
              <w:jc w:val="center"/>
              <w:rPr>
                <w:rFonts w:ascii="Garamond" w:eastAsia="Garamond" w:hAnsi="Garamond" w:cs="Garamond"/>
              </w:rPr>
            </w:pPr>
            <w:r w:rsidRPr="00C04C4B">
              <w:rPr>
                <w:rFonts w:ascii="Garamond" w:eastAsia="Garamond" w:hAnsi="Garamond" w:cs="Garamond"/>
              </w:rPr>
              <w:t>2523</w:t>
            </w:r>
          </w:p>
        </w:tc>
        <w:tc>
          <w:tcPr>
            <w:tcW w:w="2932" w:type="dxa"/>
            <w:vAlign w:val="center"/>
          </w:tcPr>
          <w:p w14:paraId="0E555F52" w14:textId="77777777" w:rsidR="0022086B" w:rsidRPr="00C04C4B" w:rsidRDefault="0065443B">
            <w:pPr>
              <w:jc w:val="center"/>
              <w:rPr>
                <w:rFonts w:ascii="Garamond" w:eastAsia="Garamond" w:hAnsi="Garamond" w:cs="Garamond"/>
              </w:rPr>
            </w:pPr>
            <w:r w:rsidRPr="00C04C4B">
              <w:rPr>
                <w:rFonts w:ascii="Garamond" w:eastAsia="Garamond" w:hAnsi="Garamond" w:cs="Garamond"/>
              </w:rPr>
              <w:t>1</w:t>
            </w:r>
          </w:p>
        </w:tc>
      </w:tr>
      <w:tr w:rsidR="0022086B" w:rsidRPr="00C04C4B" w14:paraId="3D75DC6A" w14:textId="77777777">
        <w:trPr>
          <w:trHeight w:val="241"/>
        </w:trPr>
        <w:tc>
          <w:tcPr>
            <w:tcW w:w="2590" w:type="dxa"/>
            <w:vAlign w:val="center"/>
          </w:tcPr>
          <w:p w14:paraId="52C0D86B" w14:textId="77777777" w:rsidR="0022086B" w:rsidRPr="00C04C4B" w:rsidRDefault="0065443B">
            <w:pPr>
              <w:jc w:val="center"/>
              <w:rPr>
                <w:rFonts w:ascii="Garamond" w:eastAsia="Garamond" w:hAnsi="Garamond" w:cs="Garamond"/>
              </w:rPr>
            </w:pPr>
            <w:r w:rsidRPr="00C04C4B">
              <w:rPr>
                <w:rFonts w:ascii="Garamond" w:eastAsia="Garamond" w:hAnsi="Garamond" w:cs="Garamond"/>
              </w:rPr>
              <w:t>Total, Avance Con la Meta Proyectado:</w:t>
            </w:r>
          </w:p>
        </w:tc>
        <w:tc>
          <w:tcPr>
            <w:tcW w:w="2932" w:type="dxa"/>
            <w:vAlign w:val="center"/>
          </w:tcPr>
          <w:p w14:paraId="4B3B4FEC" w14:textId="7916AC45" w:rsidR="0022086B" w:rsidRPr="00C04C4B" w:rsidRDefault="00143F11">
            <w:pPr>
              <w:jc w:val="center"/>
              <w:rPr>
                <w:rFonts w:ascii="Garamond" w:eastAsia="Garamond" w:hAnsi="Garamond" w:cs="Garamond"/>
              </w:rPr>
            </w:pPr>
            <w:r w:rsidRPr="00C04C4B">
              <w:rPr>
                <w:rFonts w:ascii="Garamond" w:eastAsia="Garamond" w:hAnsi="Garamond" w:cs="Garamond"/>
              </w:rPr>
              <w:t>56</w:t>
            </w:r>
            <w:r w:rsidR="0065443B" w:rsidRPr="00C04C4B">
              <w:rPr>
                <w:rFonts w:ascii="Garamond" w:eastAsia="Garamond" w:hAnsi="Garamond" w:cs="Garamond"/>
              </w:rPr>
              <w:t>%</w:t>
            </w:r>
          </w:p>
        </w:tc>
      </w:tr>
    </w:tbl>
    <w:p w14:paraId="6D959384" w14:textId="77777777" w:rsidR="0022086B" w:rsidRPr="00C04C4B" w:rsidRDefault="0065443B">
      <w:pPr>
        <w:ind w:left="2160" w:firstLine="720"/>
        <w:jc w:val="both"/>
        <w:rPr>
          <w:rFonts w:ascii="Garamond" w:eastAsia="Garamond" w:hAnsi="Garamond" w:cs="Garamond"/>
        </w:rPr>
      </w:pPr>
      <w:r w:rsidRPr="00C04C4B">
        <w:rPr>
          <w:rFonts w:ascii="Garamond" w:eastAsia="Garamond" w:hAnsi="Garamond" w:cs="Garamond"/>
        </w:rPr>
        <w:t xml:space="preserve">Tabla No. 3 Fuente: Creación Propia </w:t>
      </w:r>
      <w:proofErr w:type="spellStart"/>
      <w:r w:rsidRPr="00C04C4B">
        <w:rPr>
          <w:rFonts w:ascii="Garamond" w:eastAsia="Garamond" w:hAnsi="Garamond" w:cs="Garamond"/>
        </w:rPr>
        <w:t>FDLT</w:t>
      </w:r>
      <w:proofErr w:type="spellEnd"/>
    </w:p>
    <w:p w14:paraId="1E4913F5" w14:textId="77777777" w:rsidR="0022086B" w:rsidRPr="00C04C4B" w:rsidRDefault="0022086B">
      <w:pPr>
        <w:jc w:val="both"/>
        <w:rPr>
          <w:rFonts w:ascii="Garamond" w:eastAsia="Garamond" w:hAnsi="Garamond" w:cs="Garamond"/>
        </w:rPr>
      </w:pPr>
    </w:p>
    <w:p w14:paraId="748F7225" w14:textId="6810DFBE" w:rsidR="0022086B" w:rsidRPr="00C04C4B" w:rsidRDefault="0065443B">
      <w:pPr>
        <w:jc w:val="both"/>
        <w:rPr>
          <w:rFonts w:ascii="Garamond" w:eastAsia="Garamond" w:hAnsi="Garamond" w:cs="Garamond"/>
        </w:rPr>
      </w:pPr>
      <w:r w:rsidRPr="00C04C4B">
        <w:rPr>
          <w:rFonts w:ascii="Garamond" w:eastAsia="Garamond" w:hAnsi="Garamond" w:cs="Garamond"/>
        </w:rPr>
        <w:t xml:space="preserve">De conformidad con lo anterior, se logra identificar que, con la meta de intervención proyectada con el presente proceso de selección, se avanzaría en un </w:t>
      </w:r>
      <w:r w:rsidR="00143F11" w:rsidRPr="00C04C4B">
        <w:rPr>
          <w:rFonts w:ascii="Garamond" w:eastAsia="Garamond" w:hAnsi="Garamond" w:cs="Garamond"/>
        </w:rPr>
        <w:t>56</w:t>
      </w:r>
      <w:r w:rsidRPr="00C04C4B">
        <w:rPr>
          <w:rFonts w:ascii="Garamond" w:eastAsia="Garamond" w:hAnsi="Garamond" w:cs="Garamond"/>
        </w:rPr>
        <w:t xml:space="preserve">% sobre el total del proyectado en el </w:t>
      </w:r>
      <w:proofErr w:type="spellStart"/>
      <w:r w:rsidRPr="00C04C4B">
        <w:rPr>
          <w:rFonts w:ascii="Garamond" w:eastAsia="Garamond" w:hAnsi="Garamond" w:cs="Garamond"/>
        </w:rPr>
        <w:t>PDL</w:t>
      </w:r>
      <w:proofErr w:type="spellEnd"/>
      <w:r w:rsidRPr="00C04C4B">
        <w:rPr>
          <w:rFonts w:ascii="Garamond" w:eastAsia="Garamond" w:hAnsi="Garamond" w:cs="Garamond"/>
        </w:rPr>
        <w:t>.</w:t>
      </w:r>
    </w:p>
    <w:p w14:paraId="6A646FDC" w14:textId="2A244415" w:rsidR="00143F11" w:rsidRPr="00C04C4B" w:rsidRDefault="00143F11">
      <w:pPr>
        <w:jc w:val="both"/>
        <w:rPr>
          <w:rFonts w:ascii="Garamond" w:eastAsia="Garamond" w:hAnsi="Garamond" w:cs="Garamond"/>
        </w:rPr>
      </w:pPr>
    </w:p>
    <w:p w14:paraId="0AA329E0" w14:textId="77777777" w:rsidR="00143F11" w:rsidRPr="00C04C4B" w:rsidRDefault="00143F11" w:rsidP="00143F11">
      <w:pPr>
        <w:jc w:val="both"/>
        <w:rPr>
          <w:rFonts w:ascii="Garamond" w:eastAsia="Garamond" w:hAnsi="Garamond" w:cs="Garamond"/>
        </w:rPr>
      </w:pPr>
      <w:r w:rsidRPr="00C04C4B">
        <w:rPr>
          <w:rFonts w:ascii="Garamond" w:eastAsia="Garamond" w:hAnsi="Garamond" w:cs="Garamond"/>
        </w:rPr>
        <w:t xml:space="preserve">Para el caso específico del presente proceso, dicha meta se materializa a través de la construcción del parque identificado con código </w:t>
      </w:r>
      <w:proofErr w:type="spellStart"/>
      <w:r w:rsidRPr="00C04C4B">
        <w:rPr>
          <w:rFonts w:ascii="Garamond" w:eastAsia="Garamond" w:hAnsi="Garamond" w:cs="Garamond"/>
        </w:rPr>
        <w:t>IDRD</w:t>
      </w:r>
      <w:proofErr w:type="spellEnd"/>
      <w:r w:rsidRPr="00C04C4B">
        <w:rPr>
          <w:rFonts w:ascii="Garamond" w:eastAsia="Garamond" w:hAnsi="Garamond" w:cs="Garamond"/>
        </w:rPr>
        <w:t xml:space="preserve"> 06-087, ubicado en la Urbanización El Tunal II, Calle 55 Sur No. 24C – 05, intervención que constituye una actuación integral sobre el espacio público, orientada a generar un nuevo escenario recreo-deportivo que cumpla con los estándares técnicos, de accesibilidad y seguridad exigidos por la normativa vigente.</w:t>
      </w:r>
    </w:p>
    <w:p w14:paraId="308A23EF" w14:textId="77777777" w:rsidR="00143F11" w:rsidRPr="00C04C4B" w:rsidRDefault="00143F11" w:rsidP="00143F11">
      <w:pPr>
        <w:jc w:val="both"/>
        <w:rPr>
          <w:rFonts w:ascii="Garamond" w:eastAsia="Garamond" w:hAnsi="Garamond" w:cs="Garamond"/>
        </w:rPr>
      </w:pPr>
    </w:p>
    <w:p w14:paraId="3E914C16" w14:textId="77777777" w:rsidR="00143F11" w:rsidRPr="00C04C4B" w:rsidRDefault="00143F11" w:rsidP="00143F11">
      <w:pPr>
        <w:jc w:val="both"/>
        <w:rPr>
          <w:rFonts w:ascii="Garamond" w:eastAsia="Garamond" w:hAnsi="Garamond" w:cs="Garamond"/>
        </w:rPr>
      </w:pPr>
      <w:r w:rsidRPr="00C04C4B">
        <w:rPr>
          <w:rFonts w:ascii="Garamond" w:eastAsia="Garamond" w:hAnsi="Garamond" w:cs="Garamond"/>
        </w:rPr>
        <w:t>En este sentido, la construcción del parque no solo da cumplimiento a la meta establecida, sino que la desarrolla de manera integral, al incorporar componentes de infraestructura, mobiliario y funcionalidad que permiten optimizar el uso del espacio público y garantizar condiciones adecuadas para la recreación, el deporte y la integración comunitaria.</w:t>
      </w:r>
    </w:p>
    <w:p w14:paraId="6720ADAC" w14:textId="77777777" w:rsidR="00143F11" w:rsidRPr="00C04C4B" w:rsidRDefault="00143F11" w:rsidP="00143F11">
      <w:pPr>
        <w:jc w:val="both"/>
        <w:rPr>
          <w:rFonts w:ascii="Garamond" w:eastAsia="Garamond" w:hAnsi="Garamond" w:cs="Garamond"/>
        </w:rPr>
      </w:pPr>
    </w:p>
    <w:p w14:paraId="4C54A874" w14:textId="6BB39CD6" w:rsidR="00143F11" w:rsidRPr="00C04C4B" w:rsidRDefault="00143F11" w:rsidP="00143F11">
      <w:pPr>
        <w:jc w:val="both"/>
        <w:rPr>
          <w:rFonts w:ascii="Garamond" w:eastAsia="Garamond" w:hAnsi="Garamond" w:cs="Garamond"/>
        </w:rPr>
      </w:pPr>
      <w:r w:rsidRPr="00C04C4B">
        <w:rPr>
          <w:rFonts w:ascii="Garamond" w:eastAsia="Garamond" w:hAnsi="Garamond" w:cs="Garamond"/>
        </w:rPr>
        <w:t>Por lo anterior, el presente proceso de interventoría se encuentra directamente alineado con los objetivos, metas e indicadores del Plan de Desarrollo Local, en la medida en que garantiza el control y seguimiento a la ejecución de una intervención que contribuye de manera efectiva al fortalecimiento de la red de parques de proximidad de la localidad.</w:t>
      </w:r>
    </w:p>
    <w:p w14:paraId="3E1AF4F8" w14:textId="77777777" w:rsidR="0022086B" w:rsidRPr="00C04C4B" w:rsidRDefault="0022086B">
      <w:pPr>
        <w:jc w:val="both"/>
        <w:rPr>
          <w:rFonts w:ascii="Garamond" w:eastAsia="Garamond" w:hAnsi="Garamond" w:cs="Garamond"/>
        </w:rPr>
      </w:pPr>
    </w:p>
    <w:p w14:paraId="4D0D3EF2" w14:textId="77777777" w:rsidR="00143F11" w:rsidRPr="00C04C4B" w:rsidRDefault="00143F11" w:rsidP="00143F11">
      <w:pPr>
        <w:jc w:val="both"/>
        <w:rPr>
          <w:rFonts w:ascii="Garamond" w:eastAsia="Garamond" w:hAnsi="Garamond" w:cs="Garamond"/>
        </w:rPr>
      </w:pPr>
      <w:r w:rsidRPr="00C04C4B">
        <w:rPr>
          <w:rFonts w:ascii="Garamond" w:eastAsia="Garamond" w:hAnsi="Garamond" w:cs="Garamond"/>
        </w:rPr>
        <w:t xml:space="preserve">De acuerdo con lo anteriormente expuesto, se evidencia la necesidad por parte del Fondo de Desarrollo Local de Tunjuelito de adelantar la contratación de la interventoría para el proyecto de construcción del parque identificado con código </w:t>
      </w:r>
      <w:proofErr w:type="spellStart"/>
      <w:r w:rsidRPr="00C04C4B">
        <w:rPr>
          <w:rFonts w:ascii="Garamond" w:eastAsia="Garamond" w:hAnsi="Garamond" w:cs="Garamond"/>
        </w:rPr>
        <w:t>IDRD</w:t>
      </w:r>
      <w:proofErr w:type="spellEnd"/>
      <w:r w:rsidRPr="00C04C4B">
        <w:rPr>
          <w:rFonts w:ascii="Garamond" w:eastAsia="Garamond" w:hAnsi="Garamond" w:cs="Garamond"/>
        </w:rPr>
        <w:t xml:space="preserve"> 06-087, ubicado en la Urbanización El Tunal II, Calle 55 Sur No. 24C – 05, mediante la modalidad de Concurso de Méritos, en atención a la naturaleza del objeto a contratar.</w:t>
      </w:r>
    </w:p>
    <w:p w14:paraId="103498D1" w14:textId="77777777" w:rsidR="00143F11" w:rsidRPr="00C04C4B" w:rsidRDefault="00143F11" w:rsidP="00143F11">
      <w:pPr>
        <w:jc w:val="both"/>
        <w:rPr>
          <w:rFonts w:ascii="Garamond" w:eastAsia="Garamond" w:hAnsi="Garamond" w:cs="Garamond"/>
        </w:rPr>
      </w:pPr>
    </w:p>
    <w:p w14:paraId="4CD747AB" w14:textId="77777777" w:rsidR="00143F11" w:rsidRPr="00C04C4B" w:rsidRDefault="00143F11" w:rsidP="00143F11">
      <w:pPr>
        <w:jc w:val="both"/>
        <w:rPr>
          <w:rFonts w:ascii="Garamond" w:eastAsia="Garamond" w:hAnsi="Garamond" w:cs="Garamond"/>
        </w:rPr>
      </w:pPr>
      <w:r w:rsidRPr="00C04C4B">
        <w:rPr>
          <w:rFonts w:ascii="Garamond" w:eastAsia="Garamond" w:hAnsi="Garamond" w:cs="Garamond"/>
        </w:rPr>
        <w:t>Lo anterior, teniendo en cuenta que la interventoría corresponde a un servicio de consultoría especializado, cuyo desarrollo implica la aplicación de conocimientos técnicos, administrativos, financieros, legales y ambientales orientados al seguimiento integral del contrato de obra, lo cual exige la selección del contratista con base en criterios de experiencia, idoneidad y capacidad técnica, más que en factores exclusivamente económicos.</w:t>
      </w:r>
    </w:p>
    <w:p w14:paraId="79E5385E" w14:textId="77777777" w:rsidR="00143F11" w:rsidRPr="00C04C4B" w:rsidRDefault="00143F11" w:rsidP="00143F11">
      <w:pPr>
        <w:jc w:val="both"/>
        <w:rPr>
          <w:rFonts w:ascii="Garamond" w:eastAsia="Garamond" w:hAnsi="Garamond" w:cs="Garamond"/>
        </w:rPr>
      </w:pPr>
    </w:p>
    <w:p w14:paraId="69B078C3" w14:textId="77777777" w:rsidR="00143F11" w:rsidRPr="00C04C4B" w:rsidRDefault="00143F11" w:rsidP="00143F11">
      <w:pPr>
        <w:jc w:val="both"/>
        <w:rPr>
          <w:rFonts w:ascii="Garamond" w:eastAsia="Garamond" w:hAnsi="Garamond" w:cs="Garamond"/>
        </w:rPr>
      </w:pPr>
      <w:r w:rsidRPr="00C04C4B">
        <w:rPr>
          <w:rFonts w:ascii="Garamond" w:eastAsia="Garamond" w:hAnsi="Garamond" w:cs="Garamond"/>
        </w:rPr>
        <w:t>En este sentido, la modalidad de Concurso de Méritos se constituye como el mecanismo idóneo para garantizar la selección objetiva del interventor, en cumplimiento de los principios de transparencia, economía, responsabilidad y planeación que rigen la contratación estatal.</w:t>
      </w:r>
    </w:p>
    <w:p w14:paraId="3215D28B" w14:textId="77777777" w:rsidR="00143F11" w:rsidRPr="00C04C4B" w:rsidRDefault="00143F11" w:rsidP="00143F11">
      <w:pPr>
        <w:jc w:val="both"/>
        <w:rPr>
          <w:rFonts w:ascii="Garamond" w:eastAsia="Garamond" w:hAnsi="Garamond" w:cs="Garamond"/>
        </w:rPr>
      </w:pPr>
    </w:p>
    <w:p w14:paraId="0A3AE216" w14:textId="77777777" w:rsidR="00143F11" w:rsidRPr="00C04C4B" w:rsidRDefault="00143F11" w:rsidP="00143F11">
      <w:pPr>
        <w:jc w:val="both"/>
        <w:rPr>
          <w:rFonts w:ascii="Garamond" w:eastAsia="Garamond" w:hAnsi="Garamond" w:cs="Garamond"/>
        </w:rPr>
      </w:pPr>
      <w:r w:rsidRPr="00C04C4B">
        <w:rPr>
          <w:rFonts w:ascii="Garamond" w:eastAsia="Garamond" w:hAnsi="Garamond" w:cs="Garamond"/>
        </w:rPr>
        <w:t>De conformidad con lo establecido en el artículo 83 de la Ley 1474 de 2011, la interventoría consiste en el seguimiento técnico, administrativo, financiero, contable y jurídico que sobre el cumplimiento del contrato realiza una persona natural o jurídica contratada para tal fin, cuando dicho seguimiento requiere conocimiento especializado o cuando la complejidad del contrato lo justifique.</w:t>
      </w:r>
    </w:p>
    <w:p w14:paraId="10001354" w14:textId="77777777" w:rsidR="00143F11" w:rsidRPr="00C04C4B" w:rsidRDefault="00143F11" w:rsidP="00143F11">
      <w:pPr>
        <w:jc w:val="both"/>
        <w:rPr>
          <w:rFonts w:ascii="Garamond" w:eastAsia="Garamond" w:hAnsi="Garamond" w:cs="Garamond"/>
        </w:rPr>
      </w:pPr>
    </w:p>
    <w:p w14:paraId="6DF22CDE" w14:textId="77777777" w:rsidR="00143F11" w:rsidRPr="00C04C4B" w:rsidRDefault="00143F11" w:rsidP="00143F11">
      <w:pPr>
        <w:jc w:val="both"/>
        <w:rPr>
          <w:rFonts w:ascii="Garamond" w:eastAsia="Garamond" w:hAnsi="Garamond" w:cs="Garamond"/>
        </w:rPr>
      </w:pPr>
      <w:r w:rsidRPr="00C04C4B">
        <w:rPr>
          <w:rFonts w:ascii="Garamond" w:eastAsia="Garamond" w:hAnsi="Garamond" w:cs="Garamond"/>
        </w:rPr>
        <w:t>Así mismo, en concordancia con lo dispuesto en el artículo 32 de la Ley 80 de 1993, en los contratos de obra celebrados como resultado de un proceso de licitación pública, la interventoría deberá ser contratada con una persona independiente de la entidad contratante y del contratista, garantizando así la imparcialidad y objetividad en el ejercicio del control.</w:t>
      </w:r>
    </w:p>
    <w:p w14:paraId="7EB0390E" w14:textId="77777777" w:rsidR="00143F11" w:rsidRPr="00C04C4B" w:rsidRDefault="00143F11" w:rsidP="00143F11">
      <w:pPr>
        <w:jc w:val="both"/>
        <w:rPr>
          <w:rFonts w:ascii="Garamond" w:eastAsia="Garamond" w:hAnsi="Garamond" w:cs="Garamond"/>
        </w:rPr>
      </w:pPr>
    </w:p>
    <w:p w14:paraId="4989CA64" w14:textId="77777777" w:rsidR="00143F11" w:rsidRPr="00C04C4B" w:rsidRDefault="00143F11" w:rsidP="00143F11">
      <w:pPr>
        <w:jc w:val="both"/>
        <w:rPr>
          <w:rFonts w:ascii="Garamond" w:eastAsia="Garamond" w:hAnsi="Garamond" w:cs="Garamond"/>
        </w:rPr>
      </w:pPr>
      <w:r w:rsidRPr="00C04C4B">
        <w:rPr>
          <w:rFonts w:ascii="Garamond" w:eastAsia="Garamond" w:hAnsi="Garamond" w:cs="Garamond"/>
        </w:rPr>
        <w:t>En el presente caso, la naturaleza técnica del proyecto, su alcance constructivo y la necesidad de verificar el cumplimiento de estudios, diseños, especificaciones técnicas, cronogramas y condiciones contractuales, hacen indispensable contar con una interventoría externa que ejerza un control integral sobre la ejecución de la obra.</w:t>
      </w:r>
    </w:p>
    <w:p w14:paraId="4626455B" w14:textId="77777777" w:rsidR="00143F11" w:rsidRPr="00C04C4B" w:rsidRDefault="00143F11" w:rsidP="00143F11">
      <w:pPr>
        <w:jc w:val="both"/>
        <w:rPr>
          <w:rFonts w:ascii="Garamond" w:eastAsia="Garamond" w:hAnsi="Garamond" w:cs="Garamond"/>
        </w:rPr>
      </w:pPr>
    </w:p>
    <w:p w14:paraId="453F8488" w14:textId="77777777" w:rsidR="00143F11" w:rsidRPr="00C04C4B" w:rsidRDefault="00143F11" w:rsidP="00143F11">
      <w:pPr>
        <w:jc w:val="both"/>
        <w:rPr>
          <w:rFonts w:ascii="Garamond" w:eastAsia="Garamond" w:hAnsi="Garamond" w:cs="Garamond"/>
        </w:rPr>
      </w:pPr>
      <w:r w:rsidRPr="00C04C4B">
        <w:rPr>
          <w:rFonts w:ascii="Garamond" w:eastAsia="Garamond" w:hAnsi="Garamond" w:cs="Garamond"/>
        </w:rPr>
        <w:t>En consecuencia, la interventoría tendrá la responsabilidad de asegurar el cumplimiento por parte del contratista de obra de todas las obligaciones contractuales, verificando la calidad de los materiales, la correcta ejecución de los procesos constructivos, el cumplimiento de los tiempos establecidos y la adecuada inversión de los recursos públicos.</w:t>
      </w:r>
    </w:p>
    <w:p w14:paraId="30CC3265" w14:textId="77777777" w:rsidR="00143F11" w:rsidRPr="00C04C4B" w:rsidRDefault="00143F11" w:rsidP="00143F11">
      <w:pPr>
        <w:jc w:val="both"/>
        <w:rPr>
          <w:rFonts w:ascii="Garamond" w:eastAsia="Garamond" w:hAnsi="Garamond" w:cs="Garamond"/>
        </w:rPr>
      </w:pPr>
    </w:p>
    <w:p w14:paraId="7D14B4C8" w14:textId="24B61021" w:rsidR="00C919C5" w:rsidRPr="00C04C4B" w:rsidRDefault="00143F11" w:rsidP="00143F11">
      <w:pPr>
        <w:jc w:val="both"/>
        <w:rPr>
          <w:rFonts w:ascii="Garamond" w:eastAsia="Garamond" w:hAnsi="Garamond" w:cs="Garamond"/>
        </w:rPr>
      </w:pPr>
      <w:r w:rsidRPr="00C04C4B">
        <w:rPr>
          <w:rFonts w:ascii="Garamond" w:eastAsia="Garamond" w:hAnsi="Garamond" w:cs="Garamond"/>
        </w:rPr>
        <w:t>En ningún caso el interventor podrá delegar las obligaciones derivadas del contrato en terceros, debiendo garantizar la ejecución directa de las actividades de seguimiento, control y verificación que le sean asignadas, conforme a las condiciones establecidas en el contrato y en la normatividad vigente aplicable.</w:t>
      </w:r>
    </w:p>
    <w:p w14:paraId="238534EA" w14:textId="77777777" w:rsidR="00C919C5" w:rsidRPr="00C04C4B" w:rsidRDefault="00C919C5" w:rsidP="001C3E26">
      <w:pPr>
        <w:widowControl/>
        <w:spacing w:before="100" w:beforeAutospacing="1" w:after="100" w:afterAutospacing="1"/>
        <w:jc w:val="both"/>
        <w:rPr>
          <w:rFonts w:ascii="Garamond" w:eastAsia="Garamond" w:hAnsi="Garamond" w:cs="Garamond"/>
        </w:rPr>
      </w:pPr>
      <w:r w:rsidRPr="00C04C4B">
        <w:rPr>
          <w:rFonts w:ascii="Garamond" w:eastAsia="Garamond" w:hAnsi="Garamond" w:cs="Garamond"/>
        </w:rPr>
        <w:t>Con el fin de otorgar claridad, coherencia y trazabilidad al soporte jurídico del presente proceso de selección por concurso de méritos abierto, el marco normativo aplicable se presenta conforme a la jerarquía normativa, atendiendo la estructura propuesta por la pirámide de Kelsen. De esta manera, se parte de las disposiciones de mayor rango, que habilitan la actuación administrativa, y se desciende hacia las normas de carácter reglamentario y territorial que concretan su aplicación.</w:t>
      </w:r>
    </w:p>
    <w:p w14:paraId="484BBEF6" w14:textId="77777777" w:rsidR="00C919C5" w:rsidRPr="00C04C4B" w:rsidRDefault="00C919C5" w:rsidP="00A23238">
      <w:pPr>
        <w:widowControl/>
        <w:numPr>
          <w:ilvl w:val="0"/>
          <w:numId w:val="15"/>
        </w:numPr>
        <w:spacing w:before="100" w:beforeAutospacing="1" w:after="100" w:afterAutospacing="1"/>
        <w:jc w:val="both"/>
        <w:rPr>
          <w:rFonts w:ascii="Garamond" w:eastAsia="Garamond" w:hAnsi="Garamond" w:cs="Garamond"/>
        </w:rPr>
      </w:pPr>
      <w:r w:rsidRPr="00C04C4B">
        <w:rPr>
          <w:rFonts w:ascii="Garamond" w:eastAsia="Garamond" w:hAnsi="Garamond" w:cs="Garamond"/>
        </w:rPr>
        <w:t>Normatividad de rango superior (Constitución y leyes):</w:t>
      </w:r>
    </w:p>
    <w:p w14:paraId="1CE9C7EC" w14:textId="77777777" w:rsidR="00C919C5" w:rsidRPr="00C04C4B" w:rsidRDefault="00C919C5" w:rsidP="00A23238">
      <w:pPr>
        <w:widowControl/>
        <w:numPr>
          <w:ilvl w:val="1"/>
          <w:numId w:val="15"/>
        </w:numPr>
        <w:spacing w:before="100" w:beforeAutospacing="1" w:after="100" w:afterAutospacing="1"/>
        <w:jc w:val="both"/>
        <w:rPr>
          <w:rFonts w:ascii="Garamond" w:eastAsia="Garamond" w:hAnsi="Garamond" w:cs="Garamond"/>
        </w:rPr>
      </w:pPr>
      <w:r w:rsidRPr="00C04C4B">
        <w:rPr>
          <w:rFonts w:ascii="Garamond" w:eastAsia="Garamond" w:hAnsi="Garamond" w:cs="Garamond"/>
        </w:rPr>
        <w:t>Constitución Política de Colombia, que establece los principios de función administrativa (art. 209) y la obligación de garantizar la prestación eficiente de los servicios y la satisfacción del interés general.</w:t>
      </w:r>
    </w:p>
    <w:p w14:paraId="4FA7796E" w14:textId="77777777" w:rsidR="00C919C5" w:rsidRPr="00C04C4B" w:rsidRDefault="00C919C5" w:rsidP="00A23238">
      <w:pPr>
        <w:widowControl/>
        <w:numPr>
          <w:ilvl w:val="1"/>
          <w:numId w:val="15"/>
        </w:numPr>
        <w:spacing w:before="100" w:beforeAutospacing="1" w:after="100" w:afterAutospacing="1"/>
        <w:jc w:val="both"/>
        <w:rPr>
          <w:rFonts w:ascii="Garamond" w:eastAsia="Garamond" w:hAnsi="Garamond" w:cs="Garamond"/>
        </w:rPr>
      </w:pPr>
      <w:r w:rsidRPr="00C04C4B">
        <w:rPr>
          <w:rFonts w:ascii="Garamond" w:eastAsia="Garamond" w:hAnsi="Garamond" w:cs="Garamond"/>
        </w:rPr>
        <w:t>Ley 80 de 1993 y Ley 1150 de 2007, que regulan la contratación estatal, fijan los principios de transparencia, economía, responsabilidad y selección objetiva, y habilitan el uso de la modalidad de concurso de méritos para la contratación de consultorías e interventorías.</w:t>
      </w:r>
    </w:p>
    <w:p w14:paraId="66EA62DA" w14:textId="77777777" w:rsidR="00C919C5" w:rsidRPr="00C04C4B" w:rsidRDefault="00C919C5" w:rsidP="00A23238">
      <w:pPr>
        <w:widowControl/>
        <w:numPr>
          <w:ilvl w:val="1"/>
          <w:numId w:val="15"/>
        </w:numPr>
        <w:spacing w:before="100" w:beforeAutospacing="1" w:after="100" w:afterAutospacing="1"/>
        <w:jc w:val="both"/>
        <w:rPr>
          <w:rFonts w:ascii="Garamond" w:eastAsia="Garamond" w:hAnsi="Garamond" w:cs="Garamond"/>
        </w:rPr>
      </w:pPr>
      <w:r w:rsidRPr="00C04C4B">
        <w:rPr>
          <w:rFonts w:ascii="Garamond" w:eastAsia="Garamond" w:hAnsi="Garamond" w:cs="Garamond"/>
        </w:rPr>
        <w:lastRenderedPageBreak/>
        <w:t>Ley 1474 de 2011 (Estatuto Anticorrupción), en lo relativo a la publicidad, planeación y control de la contratación pública.</w:t>
      </w:r>
    </w:p>
    <w:p w14:paraId="48DF22A1" w14:textId="77777777" w:rsidR="00C919C5" w:rsidRPr="00C04C4B" w:rsidRDefault="00C919C5" w:rsidP="00A23238">
      <w:pPr>
        <w:widowControl/>
        <w:numPr>
          <w:ilvl w:val="0"/>
          <w:numId w:val="15"/>
        </w:numPr>
        <w:spacing w:before="100" w:beforeAutospacing="1" w:after="100" w:afterAutospacing="1"/>
        <w:jc w:val="both"/>
        <w:rPr>
          <w:rFonts w:ascii="Garamond" w:eastAsia="Garamond" w:hAnsi="Garamond" w:cs="Garamond"/>
        </w:rPr>
      </w:pPr>
      <w:r w:rsidRPr="00C04C4B">
        <w:rPr>
          <w:rFonts w:ascii="Garamond" w:eastAsia="Garamond" w:hAnsi="Garamond" w:cs="Garamond"/>
        </w:rPr>
        <w:t>Normatividad reglamentaria de orden nacional:</w:t>
      </w:r>
    </w:p>
    <w:p w14:paraId="334067BC" w14:textId="77777777" w:rsidR="00C919C5" w:rsidRPr="00C04C4B" w:rsidRDefault="00C919C5" w:rsidP="00A23238">
      <w:pPr>
        <w:widowControl/>
        <w:numPr>
          <w:ilvl w:val="1"/>
          <w:numId w:val="15"/>
        </w:numPr>
        <w:spacing w:before="100" w:beforeAutospacing="1" w:after="100" w:afterAutospacing="1"/>
        <w:jc w:val="both"/>
        <w:rPr>
          <w:rFonts w:ascii="Garamond" w:eastAsia="Garamond" w:hAnsi="Garamond" w:cs="Garamond"/>
        </w:rPr>
      </w:pPr>
      <w:r w:rsidRPr="00C04C4B">
        <w:rPr>
          <w:rFonts w:ascii="Garamond" w:eastAsia="Garamond" w:hAnsi="Garamond" w:cs="Garamond"/>
        </w:rPr>
        <w:t>Decreto 1082 de 2015, Decreto Único Reglamentario del Sector Administrativo de Planeación Nacional, en lo que concierne a los estudios y documentos previos, modalidades de selección, justificación técnica y presupuestal, así como a los requisitos para los procesos de consultoría e interventoría.</w:t>
      </w:r>
    </w:p>
    <w:p w14:paraId="48D86AB1" w14:textId="77777777" w:rsidR="00C919C5" w:rsidRPr="00C04C4B" w:rsidRDefault="00C919C5" w:rsidP="00A23238">
      <w:pPr>
        <w:widowControl/>
        <w:numPr>
          <w:ilvl w:val="1"/>
          <w:numId w:val="15"/>
        </w:numPr>
        <w:spacing w:before="100" w:beforeAutospacing="1" w:after="100" w:afterAutospacing="1"/>
        <w:jc w:val="both"/>
        <w:rPr>
          <w:rFonts w:ascii="Garamond" w:eastAsia="Garamond" w:hAnsi="Garamond" w:cs="Garamond"/>
        </w:rPr>
      </w:pPr>
      <w:r w:rsidRPr="00C04C4B">
        <w:rPr>
          <w:rFonts w:ascii="Garamond" w:eastAsia="Garamond" w:hAnsi="Garamond" w:cs="Garamond"/>
        </w:rPr>
        <w:t>Demás disposiciones reglamentarias que desarrollan la Ley 1150 de 2007 para la modalidad de concurso de méritos.</w:t>
      </w:r>
    </w:p>
    <w:p w14:paraId="3181E883" w14:textId="77777777" w:rsidR="00C919C5" w:rsidRPr="00C04C4B" w:rsidRDefault="00C919C5" w:rsidP="00A23238">
      <w:pPr>
        <w:widowControl/>
        <w:numPr>
          <w:ilvl w:val="0"/>
          <w:numId w:val="15"/>
        </w:numPr>
        <w:spacing w:before="100" w:beforeAutospacing="1" w:after="100" w:afterAutospacing="1"/>
        <w:jc w:val="both"/>
        <w:rPr>
          <w:rFonts w:ascii="Garamond" w:eastAsia="Garamond" w:hAnsi="Garamond" w:cs="Garamond"/>
        </w:rPr>
      </w:pPr>
      <w:r w:rsidRPr="00C04C4B">
        <w:rPr>
          <w:rFonts w:ascii="Garamond" w:eastAsia="Garamond" w:hAnsi="Garamond" w:cs="Garamond"/>
        </w:rPr>
        <w:t>Normatividad y lineamientos de orden distrital:</w:t>
      </w:r>
    </w:p>
    <w:p w14:paraId="5FC1A5C1" w14:textId="77777777" w:rsidR="00C919C5" w:rsidRPr="00C04C4B" w:rsidRDefault="00C919C5" w:rsidP="00A23238">
      <w:pPr>
        <w:widowControl/>
        <w:numPr>
          <w:ilvl w:val="1"/>
          <w:numId w:val="15"/>
        </w:numPr>
        <w:spacing w:before="100" w:beforeAutospacing="1" w:after="100" w:afterAutospacing="1"/>
        <w:jc w:val="both"/>
        <w:rPr>
          <w:rFonts w:ascii="Garamond" w:eastAsia="Garamond" w:hAnsi="Garamond" w:cs="Garamond"/>
        </w:rPr>
      </w:pPr>
      <w:r w:rsidRPr="00C04C4B">
        <w:rPr>
          <w:rFonts w:ascii="Garamond" w:eastAsia="Garamond" w:hAnsi="Garamond" w:cs="Garamond"/>
        </w:rPr>
        <w:t>Acuerdo Distrital 740 de 2019 y demás disposiciones que regulan la organización y funcionamiento de los Fondos de Desarrollo Local, en cuanto a su competencia para adelantar procesos contractuales destinados a la ejecución de proyectos de inversión local.</w:t>
      </w:r>
    </w:p>
    <w:p w14:paraId="2300D7D9" w14:textId="77777777" w:rsidR="00C919C5" w:rsidRPr="00C04C4B" w:rsidRDefault="00C919C5" w:rsidP="00A23238">
      <w:pPr>
        <w:widowControl/>
        <w:numPr>
          <w:ilvl w:val="1"/>
          <w:numId w:val="15"/>
        </w:numPr>
        <w:spacing w:before="100" w:beforeAutospacing="1" w:after="100" w:afterAutospacing="1"/>
        <w:jc w:val="both"/>
        <w:rPr>
          <w:rFonts w:ascii="Garamond" w:eastAsia="Garamond" w:hAnsi="Garamond" w:cs="Garamond"/>
        </w:rPr>
      </w:pPr>
      <w:r w:rsidRPr="00C04C4B">
        <w:rPr>
          <w:rFonts w:ascii="Garamond" w:eastAsia="Garamond" w:hAnsi="Garamond" w:cs="Garamond"/>
        </w:rPr>
        <w:t>Decreto Distrital 374 de 2019 (o el que haga sus veces) y normas distritales que desarrollan la gestión contractual en el nivel local.</w:t>
      </w:r>
    </w:p>
    <w:p w14:paraId="72656789" w14:textId="77777777" w:rsidR="00C919C5" w:rsidRPr="00C04C4B" w:rsidRDefault="00C919C5" w:rsidP="00A23238">
      <w:pPr>
        <w:widowControl/>
        <w:numPr>
          <w:ilvl w:val="1"/>
          <w:numId w:val="15"/>
        </w:numPr>
        <w:spacing w:before="100" w:beforeAutospacing="1" w:after="100" w:afterAutospacing="1"/>
        <w:jc w:val="both"/>
        <w:rPr>
          <w:rFonts w:ascii="Garamond" w:eastAsia="Garamond" w:hAnsi="Garamond" w:cs="Garamond"/>
        </w:rPr>
      </w:pPr>
      <w:r w:rsidRPr="00C04C4B">
        <w:rPr>
          <w:rFonts w:ascii="Garamond" w:eastAsia="Garamond" w:hAnsi="Garamond" w:cs="Garamond"/>
        </w:rPr>
        <w:t>Lineamientos técnicos del sector hábitat, recreación y deporte y, en particular, los derivados del proyecto de inversión al que se adscribe la interventoría de parques, en cuanto a estándares técnicos, de supervisión y de aseguramiento de la calidad.</w:t>
      </w:r>
    </w:p>
    <w:p w14:paraId="3741EC74" w14:textId="77777777" w:rsidR="00C919C5" w:rsidRPr="00C04C4B" w:rsidRDefault="00C919C5" w:rsidP="001C3E26">
      <w:pPr>
        <w:widowControl/>
        <w:spacing w:before="100" w:beforeAutospacing="1" w:after="100" w:afterAutospacing="1"/>
        <w:jc w:val="both"/>
        <w:rPr>
          <w:rFonts w:ascii="Garamond" w:eastAsia="Garamond" w:hAnsi="Garamond" w:cs="Garamond"/>
        </w:rPr>
      </w:pPr>
      <w:r w:rsidRPr="00C04C4B">
        <w:rPr>
          <w:rFonts w:ascii="Garamond" w:eastAsia="Garamond" w:hAnsi="Garamond" w:cs="Garamond"/>
        </w:rPr>
        <w:t>La presentación del marco normativo bajo este orden permite evidenciar la relación de subordinación y complementariedad entre las normas citadas y demuestra que el proceso que se pretende adelantar se encuentra soportado en disposiciones vigentes y pertinentes para la contratación de servicios de interventoría en el nivel distrital-local, garantizando así mayor claridad y solidez argumentativa dentro del estudio previo.</w:t>
      </w:r>
    </w:p>
    <w:p w14:paraId="1FCFB092" w14:textId="77777777" w:rsidR="00143F11" w:rsidRPr="00C04C4B" w:rsidRDefault="00143F11" w:rsidP="00143F11">
      <w:pPr>
        <w:jc w:val="both"/>
        <w:rPr>
          <w:rFonts w:ascii="Garamond" w:hAnsi="Garamond"/>
          <w:lang w:val="es-CO"/>
        </w:rPr>
      </w:pPr>
      <w:r w:rsidRPr="00C04C4B">
        <w:rPr>
          <w:rFonts w:ascii="Garamond" w:hAnsi="Garamond"/>
          <w:lang w:val="es-CO"/>
        </w:rPr>
        <w:t>El Fondo de Desarrollo Local de Tunjuelito viene adelantando procesos orientados al fortalecimiento del espacio público y la infraestructura recreativa de la localidad, mediante la ejecución de proyectos de inversión que buscan garantizar condiciones adecuadas para la recreación, el deporte y la integración comunitaria.</w:t>
      </w:r>
    </w:p>
    <w:p w14:paraId="7DB5A40E" w14:textId="77777777" w:rsidR="00143F11" w:rsidRPr="00C04C4B" w:rsidRDefault="00143F11" w:rsidP="00143F11">
      <w:pPr>
        <w:jc w:val="both"/>
        <w:rPr>
          <w:rFonts w:ascii="Garamond" w:hAnsi="Garamond"/>
          <w:lang w:val="es-CO"/>
        </w:rPr>
      </w:pPr>
    </w:p>
    <w:p w14:paraId="3C63B72E" w14:textId="77777777" w:rsidR="00143F11" w:rsidRPr="00C04C4B" w:rsidRDefault="00143F11" w:rsidP="00143F11">
      <w:pPr>
        <w:jc w:val="both"/>
        <w:rPr>
          <w:rFonts w:ascii="Garamond" w:hAnsi="Garamond"/>
          <w:lang w:val="es-CO"/>
        </w:rPr>
      </w:pPr>
      <w:r w:rsidRPr="00C04C4B">
        <w:rPr>
          <w:rFonts w:ascii="Garamond" w:hAnsi="Garamond"/>
          <w:lang w:val="es-CO"/>
        </w:rPr>
        <w:t>En este marco, la ejecución del contrato de obra asociado al proyecto requiere no solo la materialización física de las actividades constructivas, sino también la verificación permanente de que dichas actividades se desarrollen conforme a los estudios y diseños aprobados, las especificaciones técnicas aplicables y las condiciones de tiempo, costo y calidad definidas en los documentos contractuales.</w:t>
      </w:r>
    </w:p>
    <w:p w14:paraId="5877308F" w14:textId="77777777" w:rsidR="00143F11" w:rsidRPr="00C04C4B" w:rsidRDefault="00143F11" w:rsidP="00143F11">
      <w:pPr>
        <w:jc w:val="both"/>
        <w:rPr>
          <w:rFonts w:ascii="Garamond" w:hAnsi="Garamond"/>
          <w:lang w:val="es-CO"/>
        </w:rPr>
      </w:pPr>
    </w:p>
    <w:p w14:paraId="6F8EB769" w14:textId="77777777" w:rsidR="00143F11" w:rsidRPr="00C04C4B" w:rsidRDefault="00143F11" w:rsidP="00143F11">
      <w:pPr>
        <w:jc w:val="both"/>
        <w:rPr>
          <w:rFonts w:ascii="Garamond" w:hAnsi="Garamond"/>
          <w:lang w:val="es-CO"/>
        </w:rPr>
      </w:pPr>
      <w:r w:rsidRPr="00C04C4B">
        <w:rPr>
          <w:rFonts w:ascii="Garamond" w:hAnsi="Garamond"/>
          <w:lang w:val="es-CO"/>
        </w:rPr>
        <w:t>En este contexto surge la necesidad de contratar una interventoría especializada que ejerza el control y seguimiento técnico, administrativo, financiero, ambiental y jurídico sobre el contrato de obra, garantizando la adecuada ejecución del proyecto y la correcta inversión de los recursos públicos.</w:t>
      </w:r>
    </w:p>
    <w:p w14:paraId="511F32B3" w14:textId="77777777" w:rsidR="00143F11" w:rsidRPr="00C04C4B" w:rsidRDefault="00143F11" w:rsidP="00143F11">
      <w:pPr>
        <w:jc w:val="both"/>
        <w:rPr>
          <w:rFonts w:ascii="Garamond" w:hAnsi="Garamond"/>
          <w:lang w:val="es-CO"/>
        </w:rPr>
      </w:pPr>
    </w:p>
    <w:p w14:paraId="34E8EB19" w14:textId="77777777" w:rsidR="00143F11" w:rsidRPr="00C04C4B" w:rsidRDefault="00143F11" w:rsidP="00143F11">
      <w:pPr>
        <w:jc w:val="both"/>
        <w:rPr>
          <w:rFonts w:ascii="Garamond" w:hAnsi="Garamond"/>
          <w:lang w:val="es-CO"/>
        </w:rPr>
      </w:pPr>
      <w:r w:rsidRPr="00C04C4B">
        <w:rPr>
          <w:rFonts w:ascii="Garamond" w:hAnsi="Garamond"/>
          <w:lang w:val="es-CO"/>
        </w:rPr>
        <w:t>La interventoría permitirá: (i) verificar que las cantidades de obra ejecutadas correspondan a lo contratado; (</w:t>
      </w:r>
      <w:proofErr w:type="spellStart"/>
      <w:r w:rsidRPr="00C04C4B">
        <w:rPr>
          <w:rFonts w:ascii="Garamond" w:hAnsi="Garamond"/>
          <w:lang w:val="es-CO"/>
        </w:rPr>
        <w:t>ii</w:t>
      </w:r>
      <w:proofErr w:type="spellEnd"/>
      <w:r w:rsidRPr="00C04C4B">
        <w:rPr>
          <w:rFonts w:ascii="Garamond" w:hAnsi="Garamond"/>
          <w:lang w:val="es-CO"/>
        </w:rPr>
        <w:t>) controlar la calidad de los materiales y de los procesos constructivos conforme a las especificaciones técnicas; (</w:t>
      </w:r>
      <w:proofErr w:type="spellStart"/>
      <w:r w:rsidRPr="00C04C4B">
        <w:rPr>
          <w:rFonts w:ascii="Garamond" w:hAnsi="Garamond"/>
          <w:lang w:val="es-CO"/>
        </w:rPr>
        <w:t>iii</w:t>
      </w:r>
      <w:proofErr w:type="spellEnd"/>
      <w:r w:rsidRPr="00C04C4B">
        <w:rPr>
          <w:rFonts w:ascii="Garamond" w:hAnsi="Garamond"/>
          <w:lang w:val="es-CO"/>
        </w:rPr>
        <w:t>) validar los soportes para el trámite de pagos, asegurando su correspondencia con el avance real de la obra; (</w:t>
      </w:r>
      <w:proofErr w:type="spellStart"/>
      <w:r w:rsidRPr="00C04C4B">
        <w:rPr>
          <w:rFonts w:ascii="Garamond" w:hAnsi="Garamond"/>
          <w:lang w:val="es-CO"/>
        </w:rPr>
        <w:t>iv</w:t>
      </w:r>
      <w:proofErr w:type="spellEnd"/>
      <w:r w:rsidRPr="00C04C4B">
        <w:rPr>
          <w:rFonts w:ascii="Garamond" w:hAnsi="Garamond"/>
          <w:lang w:val="es-CO"/>
        </w:rPr>
        <w:t xml:space="preserve">) analizar y conceptuar sobre modificaciones contractuales, prórrogas o situaciones imprevistas que se </w:t>
      </w:r>
      <w:r w:rsidRPr="00C04C4B">
        <w:rPr>
          <w:rFonts w:ascii="Garamond" w:hAnsi="Garamond"/>
          <w:lang w:val="es-CO"/>
        </w:rPr>
        <w:lastRenderedPageBreak/>
        <w:t>presenten durante la ejecución; y (v) garantizar la trazabilidad técnica, administrativa y financiera del proyecto, de manera verificable por los órganos de control.</w:t>
      </w:r>
    </w:p>
    <w:p w14:paraId="668FF166" w14:textId="77777777" w:rsidR="00143F11" w:rsidRPr="00C04C4B" w:rsidRDefault="00143F11" w:rsidP="00143F11">
      <w:pPr>
        <w:jc w:val="both"/>
        <w:rPr>
          <w:rFonts w:ascii="Garamond" w:hAnsi="Garamond"/>
          <w:lang w:val="es-CO"/>
        </w:rPr>
      </w:pPr>
    </w:p>
    <w:p w14:paraId="3B2CD5A8" w14:textId="77777777" w:rsidR="00143F11" w:rsidRPr="00C04C4B" w:rsidRDefault="00143F11" w:rsidP="00143F11">
      <w:pPr>
        <w:jc w:val="both"/>
        <w:rPr>
          <w:rFonts w:ascii="Garamond" w:hAnsi="Garamond"/>
          <w:lang w:val="es-CO"/>
        </w:rPr>
      </w:pPr>
      <w:r w:rsidRPr="00C04C4B">
        <w:rPr>
          <w:rFonts w:ascii="Garamond" w:hAnsi="Garamond"/>
          <w:lang w:val="es-CO"/>
        </w:rPr>
        <w:t>Adicionalmente, el Fondo de Desarrollo Local no cuenta de manera permanente con un equipo técnico interdisciplinario dedicado exclusivamente al seguimiento integral de contratos de obra de esta naturaleza, los cuales requieren conocimientos especializados en procesos constructivos, control de calidad, análisis financiero y gestión contractual. En este sentido, y atendiendo el principio de planeación, así como lo previsto en la Ley 80 de 1993, la Ley 1150 de 2007 y el Decreto 1082 de 2015, se justifica la contratación de un tercero independiente que garantice objetividad en la evaluación, oportunidad en los conceptos y cumplimiento estricto de las obligaciones contractuales.</w:t>
      </w:r>
    </w:p>
    <w:p w14:paraId="420D74AF" w14:textId="77777777" w:rsidR="00143F11" w:rsidRPr="00C04C4B" w:rsidRDefault="00143F11" w:rsidP="00143F11">
      <w:pPr>
        <w:jc w:val="both"/>
        <w:rPr>
          <w:rFonts w:ascii="Garamond" w:hAnsi="Garamond"/>
          <w:lang w:val="es-CO"/>
        </w:rPr>
      </w:pPr>
    </w:p>
    <w:p w14:paraId="19423192" w14:textId="77777777" w:rsidR="00143F11" w:rsidRPr="00C04C4B" w:rsidRDefault="00143F11" w:rsidP="00143F11">
      <w:pPr>
        <w:jc w:val="both"/>
        <w:rPr>
          <w:rFonts w:ascii="Garamond" w:hAnsi="Garamond"/>
          <w:lang w:val="es-CO"/>
        </w:rPr>
      </w:pPr>
      <w:r w:rsidRPr="00C04C4B">
        <w:rPr>
          <w:rFonts w:ascii="Garamond" w:hAnsi="Garamond"/>
          <w:lang w:val="es-CO"/>
        </w:rPr>
        <w:t>En consecuencia, la interventoría no constituye un gasto accesorio, sino un componente esencial del proceso contractual, en la medida en que asegura que la inversión pública se materialice en una obra ejecutada conforme a los estándares de calidad exigidos, recibida a satisfacción y debidamente soportada desde el punto de vista técnico, administrativo y financiero.</w:t>
      </w:r>
    </w:p>
    <w:p w14:paraId="1B747945" w14:textId="77777777" w:rsidR="00143F11" w:rsidRPr="00C04C4B" w:rsidRDefault="00143F11" w:rsidP="00143F11">
      <w:pPr>
        <w:jc w:val="both"/>
        <w:rPr>
          <w:rFonts w:ascii="Garamond" w:hAnsi="Garamond"/>
          <w:lang w:val="es-CO"/>
        </w:rPr>
      </w:pPr>
    </w:p>
    <w:p w14:paraId="5E5D0DA1" w14:textId="77777777" w:rsidR="00143F11" w:rsidRPr="00C04C4B" w:rsidRDefault="00143F11" w:rsidP="00143F11">
      <w:pPr>
        <w:jc w:val="both"/>
        <w:rPr>
          <w:rFonts w:ascii="Garamond" w:hAnsi="Garamond"/>
          <w:lang w:val="es-CO"/>
        </w:rPr>
      </w:pPr>
      <w:r w:rsidRPr="00C04C4B">
        <w:rPr>
          <w:rFonts w:ascii="Garamond" w:hAnsi="Garamond"/>
          <w:lang w:val="es-CO"/>
        </w:rPr>
        <w:t>Para la estructuración del presente proceso no se consideró necesario solicitar asistencia técnica sectorial adicional, en tanto el objeto del contrato se encuentra claramente definido dentro del proyecto de inversión, y sus lineamientos técnicos, normativos y de ejecución se encuentran establecidos en la normativa vigente y en los documentos técnicos del proyecto. Así mismo, la interventoría a contratar tiene precisamente como función verificar el cumplimiento de dichos estándares durante la ejecución del contrato de obra.</w:t>
      </w:r>
    </w:p>
    <w:p w14:paraId="32E0B0DB" w14:textId="77777777" w:rsidR="00143F11" w:rsidRPr="00C04C4B" w:rsidRDefault="00143F11" w:rsidP="00143F11">
      <w:pPr>
        <w:jc w:val="both"/>
        <w:rPr>
          <w:rFonts w:ascii="Garamond" w:hAnsi="Garamond"/>
          <w:lang w:val="es-CO"/>
        </w:rPr>
      </w:pPr>
    </w:p>
    <w:p w14:paraId="3210058D" w14:textId="77777777" w:rsidR="00143F11" w:rsidRPr="00C04C4B" w:rsidRDefault="00143F11" w:rsidP="00143F11">
      <w:pPr>
        <w:jc w:val="both"/>
        <w:rPr>
          <w:rFonts w:ascii="Garamond" w:hAnsi="Garamond"/>
          <w:lang w:val="es-CO"/>
        </w:rPr>
      </w:pPr>
      <w:r w:rsidRPr="00C04C4B">
        <w:rPr>
          <w:rFonts w:ascii="Garamond" w:hAnsi="Garamond"/>
          <w:lang w:val="es-CO"/>
        </w:rPr>
        <w:t>En consecuencia, se deja constancia de que la estructuración del proceso se realizó con base en los insumos técnicos disponibles, sin requerir conceptos adicionales por parte de otras instancias sectoriales, garantizando en todo caso la suficiencia técnica y jurídica del presente estudio previo.</w:t>
      </w:r>
    </w:p>
    <w:p w14:paraId="5CFD09DB" w14:textId="77777777" w:rsidR="00143F11" w:rsidRPr="00C04C4B" w:rsidRDefault="00143F11" w:rsidP="00143F11">
      <w:pPr>
        <w:jc w:val="both"/>
        <w:rPr>
          <w:rFonts w:ascii="Garamond" w:hAnsi="Garamond"/>
          <w:lang w:val="es-CO"/>
        </w:rPr>
      </w:pPr>
    </w:p>
    <w:p w14:paraId="2E96BCBE" w14:textId="2BB1BF1A" w:rsidR="0022086B" w:rsidRPr="00C04C4B" w:rsidRDefault="0065443B" w:rsidP="00143F11">
      <w:pPr>
        <w:jc w:val="both"/>
        <w:rPr>
          <w:rFonts w:ascii="Garamond" w:eastAsia="Garamond" w:hAnsi="Garamond" w:cs="Garamond"/>
          <w:b/>
        </w:rPr>
      </w:pPr>
      <w:r w:rsidRPr="00C04C4B">
        <w:rPr>
          <w:rFonts w:ascii="Garamond" w:eastAsia="Garamond" w:hAnsi="Garamond" w:cs="Garamond"/>
          <w:b/>
        </w:rPr>
        <w:t>1.2 CONVENIENCIA DE LA CONTRATACIÓN</w:t>
      </w:r>
    </w:p>
    <w:p w14:paraId="67D39E09" w14:textId="77777777" w:rsidR="0022086B" w:rsidRPr="00C04C4B" w:rsidRDefault="0022086B">
      <w:pPr>
        <w:jc w:val="both"/>
        <w:rPr>
          <w:rFonts w:ascii="Garamond" w:eastAsia="Garamond" w:hAnsi="Garamond" w:cs="Garamond"/>
        </w:rPr>
      </w:pPr>
    </w:p>
    <w:p w14:paraId="2D7F02D3" w14:textId="77777777" w:rsidR="001E2B1A" w:rsidRPr="00C04C4B" w:rsidRDefault="001E2B1A" w:rsidP="001E2B1A">
      <w:pPr>
        <w:jc w:val="both"/>
        <w:rPr>
          <w:rFonts w:ascii="Garamond" w:eastAsia="Garamond" w:hAnsi="Garamond" w:cs="Garamond"/>
        </w:rPr>
      </w:pPr>
      <w:r w:rsidRPr="00C04C4B">
        <w:rPr>
          <w:rFonts w:ascii="Garamond" w:eastAsia="Garamond" w:hAnsi="Garamond" w:cs="Garamond"/>
        </w:rPr>
        <w:t>De acuerdo con el análisis efectuado en los apartados anteriores, y considerando la necesidad de garantizar la adecuada ejecución del proyecto de infraestructura recreativa adelantado por el Fondo de Desarrollo Local de Tunjuelito, resulta plenamente conveniente y necesario contratar una interventoría integral que ejerza el control y seguimiento permanente sobre el contrato de obra.</w:t>
      </w:r>
    </w:p>
    <w:p w14:paraId="7C9C2347" w14:textId="77777777" w:rsidR="001E2B1A" w:rsidRPr="00C04C4B" w:rsidRDefault="001E2B1A" w:rsidP="001E2B1A">
      <w:pPr>
        <w:jc w:val="both"/>
        <w:rPr>
          <w:rFonts w:ascii="Garamond" w:eastAsia="Garamond" w:hAnsi="Garamond" w:cs="Garamond"/>
        </w:rPr>
      </w:pPr>
    </w:p>
    <w:p w14:paraId="0D0257B4" w14:textId="77777777" w:rsidR="001E2B1A" w:rsidRPr="00C04C4B" w:rsidRDefault="001E2B1A" w:rsidP="001E2B1A">
      <w:pPr>
        <w:jc w:val="both"/>
        <w:rPr>
          <w:rFonts w:ascii="Garamond" w:eastAsia="Garamond" w:hAnsi="Garamond" w:cs="Garamond"/>
        </w:rPr>
      </w:pPr>
      <w:r w:rsidRPr="00C04C4B">
        <w:rPr>
          <w:rFonts w:ascii="Garamond" w:eastAsia="Garamond" w:hAnsi="Garamond" w:cs="Garamond"/>
        </w:rPr>
        <w:t>La ejecución de proyectos de obra pública implica la materialización de actividades constructivas que conllevan riesgos técnicos, administrativos y financieros, asociados a la calidad de los materiales, la correcta aplicación de los procesos constructivos, el cumplimiento de los cronogramas, la adecuada ejecución presupuestal y la observancia de la normatividad vigente. En este contexto, la interventoría se constituye como el instrumento técnico especializado que permite mitigar dichos riesgos mediante la verificación sistemática y documentada de cada una de las etapas del proyecto.</w:t>
      </w:r>
    </w:p>
    <w:p w14:paraId="2DEB4013" w14:textId="77777777" w:rsidR="001E2B1A" w:rsidRPr="00C04C4B" w:rsidRDefault="001E2B1A" w:rsidP="001E2B1A">
      <w:pPr>
        <w:jc w:val="both"/>
        <w:rPr>
          <w:rFonts w:ascii="Garamond" w:eastAsia="Garamond" w:hAnsi="Garamond" w:cs="Garamond"/>
        </w:rPr>
      </w:pPr>
    </w:p>
    <w:p w14:paraId="3505EEC5" w14:textId="77777777" w:rsidR="001E2B1A" w:rsidRPr="00C04C4B" w:rsidRDefault="001E2B1A" w:rsidP="001E2B1A">
      <w:pPr>
        <w:jc w:val="both"/>
        <w:rPr>
          <w:rFonts w:ascii="Garamond" w:eastAsia="Garamond" w:hAnsi="Garamond" w:cs="Garamond"/>
        </w:rPr>
      </w:pPr>
      <w:r w:rsidRPr="00C04C4B">
        <w:rPr>
          <w:rFonts w:ascii="Garamond" w:eastAsia="Garamond" w:hAnsi="Garamond" w:cs="Garamond"/>
        </w:rPr>
        <w:t xml:space="preserve">Desde el punto de vista técnico, la conveniencia de la interventoría radica en la necesidad de contar con un </w:t>
      </w:r>
      <w:r w:rsidRPr="00C04C4B">
        <w:rPr>
          <w:rFonts w:ascii="Garamond" w:eastAsia="Garamond" w:hAnsi="Garamond" w:cs="Garamond"/>
        </w:rPr>
        <w:lastRenderedPageBreak/>
        <w:t>control independiente que valide que las actividades ejecutadas se ajusten a los estudios y diseños aprobados, a las especificaciones técnicas del sector y a los criterios de calidad exigidos, evitando la materialización de fallas constructivas que puedan comprometer la funcionalidad, durabilidad y seguridad de la obra.</w:t>
      </w:r>
    </w:p>
    <w:p w14:paraId="3FA5DB8D" w14:textId="77777777" w:rsidR="001E2B1A" w:rsidRPr="00C04C4B" w:rsidRDefault="001E2B1A" w:rsidP="001E2B1A">
      <w:pPr>
        <w:jc w:val="both"/>
        <w:rPr>
          <w:rFonts w:ascii="Garamond" w:eastAsia="Garamond" w:hAnsi="Garamond" w:cs="Garamond"/>
        </w:rPr>
      </w:pPr>
    </w:p>
    <w:p w14:paraId="58E47DD9" w14:textId="77777777" w:rsidR="001E2B1A" w:rsidRPr="00C04C4B" w:rsidRDefault="001E2B1A" w:rsidP="001E2B1A">
      <w:pPr>
        <w:jc w:val="both"/>
        <w:rPr>
          <w:rFonts w:ascii="Garamond" w:eastAsia="Garamond" w:hAnsi="Garamond" w:cs="Garamond"/>
        </w:rPr>
      </w:pPr>
      <w:r w:rsidRPr="00C04C4B">
        <w:rPr>
          <w:rFonts w:ascii="Garamond" w:eastAsia="Garamond" w:hAnsi="Garamond" w:cs="Garamond"/>
        </w:rPr>
        <w:t>En el ámbito administrativo y financiero, la interventoría permite ejercer un control riguroso sobre la ejecución del contrato, asegurando que los recursos públicos sean invertidos de manera eficiente y conforme a lo contratado, mediante la revisión y aprobación de actas de obra, cortes de avance, balances financieros y demás soportes necesarios para el trámite de pagos. Así mismo, facilita la identificación oportuna de desviaciones en costo o plazo, permitiendo la adopción de medidas correctivas que garanticen el cumplimiento de los objetivos del proyecto.</w:t>
      </w:r>
    </w:p>
    <w:p w14:paraId="50BCCE90" w14:textId="77777777" w:rsidR="001E2B1A" w:rsidRPr="00C04C4B" w:rsidRDefault="001E2B1A" w:rsidP="001E2B1A">
      <w:pPr>
        <w:jc w:val="both"/>
        <w:rPr>
          <w:rFonts w:ascii="Garamond" w:eastAsia="Garamond" w:hAnsi="Garamond" w:cs="Garamond"/>
        </w:rPr>
      </w:pPr>
    </w:p>
    <w:p w14:paraId="764D5741" w14:textId="77777777" w:rsidR="001E2B1A" w:rsidRPr="00C04C4B" w:rsidRDefault="001E2B1A" w:rsidP="001E2B1A">
      <w:pPr>
        <w:jc w:val="both"/>
        <w:rPr>
          <w:rFonts w:ascii="Garamond" w:eastAsia="Garamond" w:hAnsi="Garamond" w:cs="Garamond"/>
        </w:rPr>
      </w:pPr>
      <w:r w:rsidRPr="00C04C4B">
        <w:rPr>
          <w:rFonts w:ascii="Garamond" w:eastAsia="Garamond" w:hAnsi="Garamond" w:cs="Garamond"/>
        </w:rPr>
        <w:t>Desde la perspectiva jurídica, la interventoría constituye un mecanismo de garantía para la Entidad, en tanto permite verificar el cumplimiento de las obligaciones contractuales, documentar las actuaciones del contratista y soportar adecuadamente las decisiones que se adopten durante la ejecución del contrato, especialmente en lo relacionado con modificaciones, prórrogas, suspensiones o eventuales incumplimientos.</w:t>
      </w:r>
    </w:p>
    <w:p w14:paraId="10195CDD" w14:textId="77777777" w:rsidR="001E2B1A" w:rsidRPr="00C04C4B" w:rsidRDefault="001E2B1A" w:rsidP="001E2B1A">
      <w:pPr>
        <w:jc w:val="both"/>
        <w:rPr>
          <w:rFonts w:ascii="Garamond" w:eastAsia="Garamond" w:hAnsi="Garamond" w:cs="Garamond"/>
        </w:rPr>
      </w:pPr>
    </w:p>
    <w:p w14:paraId="380C54B1" w14:textId="77777777" w:rsidR="001E2B1A" w:rsidRPr="00C04C4B" w:rsidRDefault="001E2B1A" w:rsidP="001E2B1A">
      <w:pPr>
        <w:jc w:val="both"/>
        <w:rPr>
          <w:rFonts w:ascii="Garamond" w:eastAsia="Garamond" w:hAnsi="Garamond" w:cs="Garamond"/>
        </w:rPr>
      </w:pPr>
      <w:r w:rsidRPr="00C04C4B">
        <w:rPr>
          <w:rFonts w:ascii="Garamond" w:eastAsia="Garamond" w:hAnsi="Garamond" w:cs="Garamond"/>
        </w:rPr>
        <w:t>De igual manera, en materia ambiental y de seguridad y salud en el trabajo, la interventoría asegura que el contratista dé cumplimiento a las obligaciones normativas aplicables, minimizando impactos negativos derivados de la ejecución de la obra y garantizando condiciones seguras para los trabajadores y la comunidad aledaña.</w:t>
      </w:r>
    </w:p>
    <w:p w14:paraId="4C19CBF0" w14:textId="77777777" w:rsidR="001E2B1A" w:rsidRPr="00C04C4B" w:rsidRDefault="001E2B1A" w:rsidP="001E2B1A">
      <w:pPr>
        <w:jc w:val="both"/>
        <w:rPr>
          <w:rFonts w:ascii="Garamond" w:eastAsia="Garamond" w:hAnsi="Garamond" w:cs="Garamond"/>
        </w:rPr>
      </w:pPr>
    </w:p>
    <w:p w14:paraId="14B19486" w14:textId="77777777" w:rsidR="001E2B1A" w:rsidRPr="00C04C4B" w:rsidRDefault="001E2B1A" w:rsidP="001E2B1A">
      <w:pPr>
        <w:jc w:val="both"/>
        <w:rPr>
          <w:rFonts w:ascii="Garamond" w:eastAsia="Garamond" w:hAnsi="Garamond" w:cs="Garamond"/>
        </w:rPr>
      </w:pPr>
      <w:r w:rsidRPr="00C04C4B">
        <w:rPr>
          <w:rFonts w:ascii="Garamond" w:eastAsia="Garamond" w:hAnsi="Garamond" w:cs="Garamond"/>
        </w:rPr>
        <w:t>En este sentido, la interventoría se configura como un componente esencial del proceso contractual, en la medida en que permite integrar el control técnico, administrativo, financiero, legal, ambiental y social en un solo esquema de seguimiento, garantizando la trazabilidad de todas las actuaciones y la disponibilidad de información confiable y verificable para la toma de decisiones y para los órganos de control.</w:t>
      </w:r>
    </w:p>
    <w:p w14:paraId="7B9BA674" w14:textId="77777777" w:rsidR="001E2B1A" w:rsidRPr="00C04C4B" w:rsidRDefault="001E2B1A" w:rsidP="001E2B1A">
      <w:pPr>
        <w:jc w:val="both"/>
        <w:rPr>
          <w:rFonts w:ascii="Garamond" w:eastAsia="Garamond" w:hAnsi="Garamond" w:cs="Garamond"/>
        </w:rPr>
      </w:pPr>
    </w:p>
    <w:p w14:paraId="1D4D9ED0" w14:textId="77777777" w:rsidR="001E2B1A" w:rsidRPr="00C04C4B" w:rsidRDefault="001E2B1A" w:rsidP="001E2B1A">
      <w:pPr>
        <w:jc w:val="both"/>
        <w:rPr>
          <w:rFonts w:ascii="Garamond" w:eastAsia="Garamond" w:hAnsi="Garamond" w:cs="Garamond"/>
        </w:rPr>
      </w:pPr>
      <w:r w:rsidRPr="00C04C4B">
        <w:rPr>
          <w:rFonts w:ascii="Garamond" w:eastAsia="Garamond" w:hAnsi="Garamond" w:cs="Garamond"/>
        </w:rPr>
        <w:t>Desde el punto de vista normativo, la contratación de la interventoría encuentra sustento en el artículo 32 de la Ley 80 de 1993, el cual define los contratos de consultoría e incluye dentro de estos las actividades de interventoría, así como en el artículo 83 de la Ley 1474 de 2011, que establece la obligación de ejercer seguimiento técnico, administrativo, financiero y jurídico sobre los contratos estatales cuando su complejidad lo amerite.</w:t>
      </w:r>
    </w:p>
    <w:p w14:paraId="45D24FFA" w14:textId="77777777" w:rsidR="001E2B1A" w:rsidRPr="00C04C4B" w:rsidRDefault="001E2B1A" w:rsidP="001E2B1A">
      <w:pPr>
        <w:jc w:val="both"/>
        <w:rPr>
          <w:rFonts w:ascii="Garamond" w:eastAsia="Garamond" w:hAnsi="Garamond" w:cs="Garamond"/>
        </w:rPr>
      </w:pPr>
    </w:p>
    <w:p w14:paraId="30530F6D" w14:textId="77777777" w:rsidR="001E2B1A" w:rsidRPr="00C04C4B" w:rsidRDefault="001E2B1A" w:rsidP="001E2B1A">
      <w:pPr>
        <w:jc w:val="both"/>
        <w:rPr>
          <w:rFonts w:ascii="Garamond" w:eastAsia="Garamond" w:hAnsi="Garamond" w:cs="Garamond"/>
        </w:rPr>
      </w:pPr>
      <w:r w:rsidRPr="00C04C4B">
        <w:rPr>
          <w:rFonts w:ascii="Garamond" w:eastAsia="Garamond" w:hAnsi="Garamond" w:cs="Garamond"/>
        </w:rPr>
        <w:t>Adicionalmente, la normativa vigente dispone que, en los contratos de obra derivados de procesos de licitación pública, la interventoría debe ser contratada con una persona independiente de la entidad contratante y del contratista, garantizando la objetividad, imparcialidad y transparencia en el ejercicio del control.</w:t>
      </w:r>
    </w:p>
    <w:p w14:paraId="7D8387C2" w14:textId="77777777" w:rsidR="001E2B1A" w:rsidRPr="00C04C4B" w:rsidRDefault="001E2B1A" w:rsidP="001E2B1A">
      <w:pPr>
        <w:jc w:val="both"/>
        <w:rPr>
          <w:rFonts w:ascii="Garamond" w:eastAsia="Garamond" w:hAnsi="Garamond" w:cs="Garamond"/>
        </w:rPr>
      </w:pPr>
    </w:p>
    <w:p w14:paraId="39FC2266" w14:textId="77777777" w:rsidR="001E2B1A" w:rsidRPr="00C04C4B" w:rsidRDefault="001E2B1A" w:rsidP="001E2B1A">
      <w:pPr>
        <w:jc w:val="both"/>
        <w:rPr>
          <w:rFonts w:ascii="Garamond" w:eastAsia="Garamond" w:hAnsi="Garamond" w:cs="Garamond"/>
        </w:rPr>
      </w:pPr>
      <w:r w:rsidRPr="00C04C4B">
        <w:rPr>
          <w:rFonts w:ascii="Garamond" w:eastAsia="Garamond" w:hAnsi="Garamond" w:cs="Garamond"/>
        </w:rPr>
        <w:t>En consecuencia, la contratación de la interventoría no constituye un gasto accesorio, sino una inversión necesaria para asegurar el cumplimiento de los principios de planeación, economía, eficiencia, eficacia y transparencia, en la medida en que permite garantizar que la ejecución del contrato de obra se realice conforme a las condiciones pactadas y que los recursos públicos se traduzcan en una infraestructura funcional, segura y de calidad.</w:t>
      </w:r>
    </w:p>
    <w:p w14:paraId="18C085E3" w14:textId="77777777" w:rsidR="001E2B1A" w:rsidRPr="00C04C4B" w:rsidRDefault="001E2B1A" w:rsidP="001E2B1A">
      <w:pPr>
        <w:jc w:val="both"/>
        <w:rPr>
          <w:rFonts w:ascii="Garamond" w:eastAsia="Garamond" w:hAnsi="Garamond" w:cs="Garamond"/>
        </w:rPr>
      </w:pPr>
    </w:p>
    <w:p w14:paraId="6680CEE6" w14:textId="259D347E" w:rsidR="001243BA" w:rsidRPr="00C04C4B" w:rsidRDefault="001E2B1A" w:rsidP="001E2B1A">
      <w:pPr>
        <w:jc w:val="both"/>
        <w:rPr>
          <w:rFonts w:ascii="Garamond" w:eastAsia="Garamond" w:hAnsi="Garamond" w:cs="Garamond"/>
        </w:rPr>
      </w:pPr>
      <w:r w:rsidRPr="00C04C4B">
        <w:rPr>
          <w:rFonts w:ascii="Garamond" w:eastAsia="Garamond" w:hAnsi="Garamond" w:cs="Garamond"/>
        </w:rPr>
        <w:t>Finalmente, la interventoría contribuye a fortalecer la gestión institucional del Fondo de Desarrollo Local, al proporcionar herramientas de control, seguimiento y evaluación que permiten mejorar la toma de decisiones, optimizar los procesos contractuales y asegurar el cumplimiento de los objetivos del proyecto de inversión, en beneficio de la comunidad.</w:t>
      </w:r>
    </w:p>
    <w:p w14:paraId="1AF394FA" w14:textId="77777777" w:rsidR="001E2B1A" w:rsidRPr="00C04C4B" w:rsidRDefault="001E2B1A" w:rsidP="001E2B1A">
      <w:pPr>
        <w:jc w:val="both"/>
        <w:rPr>
          <w:rFonts w:ascii="Garamond" w:eastAsia="Garamond" w:hAnsi="Garamond" w:cs="Garamond"/>
        </w:rPr>
      </w:pPr>
    </w:p>
    <w:p w14:paraId="19C81352" w14:textId="77777777" w:rsidR="001E2B1A" w:rsidRPr="00C04C4B" w:rsidRDefault="001E2B1A" w:rsidP="001E2B1A">
      <w:pPr>
        <w:jc w:val="both"/>
        <w:rPr>
          <w:rFonts w:ascii="Garamond" w:hAnsi="Garamond"/>
          <w:lang w:val="es-CO"/>
        </w:rPr>
      </w:pPr>
      <w:r w:rsidRPr="00C04C4B">
        <w:rPr>
          <w:rFonts w:ascii="Garamond" w:hAnsi="Garamond"/>
          <w:lang w:val="es-CO"/>
        </w:rPr>
        <w:t>La contratación de una interventoría especializada para el seguimiento técnico, administrativo, financiero, jurídico, ambiental y social del contrato de obra resulta ser la alternativa que mejor atiende la necesidad identificada, así como la que se ajusta de manera más adecuada a los objetivos del proyecto de inversión y a las metas del Plan de Desarrollo Local, por las siguientes razones:</w:t>
      </w:r>
    </w:p>
    <w:p w14:paraId="2B99E4DE" w14:textId="77777777" w:rsidR="001E2B1A" w:rsidRPr="00C04C4B" w:rsidRDefault="001E2B1A" w:rsidP="001E2B1A">
      <w:pPr>
        <w:jc w:val="both"/>
        <w:rPr>
          <w:rFonts w:ascii="Garamond" w:hAnsi="Garamond"/>
          <w:lang w:val="es-CO"/>
        </w:rPr>
      </w:pPr>
    </w:p>
    <w:p w14:paraId="49EDD557" w14:textId="77777777" w:rsidR="001E2B1A" w:rsidRPr="00C04C4B" w:rsidRDefault="001E2B1A" w:rsidP="001E2B1A">
      <w:pPr>
        <w:jc w:val="both"/>
        <w:rPr>
          <w:rFonts w:ascii="Garamond" w:hAnsi="Garamond"/>
          <w:lang w:val="es-CO"/>
        </w:rPr>
      </w:pPr>
      <w:r w:rsidRPr="00C04C4B">
        <w:rPr>
          <w:rFonts w:ascii="Garamond" w:hAnsi="Garamond"/>
          <w:lang w:val="es-CO"/>
        </w:rPr>
        <w:t>a. Razones técnicas</w:t>
      </w:r>
    </w:p>
    <w:p w14:paraId="03C7DE06" w14:textId="77777777" w:rsidR="001E2B1A" w:rsidRPr="00C04C4B" w:rsidRDefault="001E2B1A" w:rsidP="001E2B1A">
      <w:pPr>
        <w:jc w:val="both"/>
        <w:rPr>
          <w:rFonts w:ascii="Garamond" w:hAnsi="Garamond"/>
          <w:lang w:val="es-CO"/>
        </w:rPr>
      </w:pPr>
    </w:p>
    <w:p w14:paraId="441E4964" w14:textId="457710AF" w:rsidR="001E2B1A" w:rsidRPr="00C04C4B" w:rsidRDefault="001E2B1A" w:rsidP="001E2B1A">
      <w:pPr>
        <w:jc w:val="both"/>
        <w:rPr>
          <w:rFonts w:ascii="Garamond" w:hAnsi="Garamond"/>
          <w:lang w:val="es-CO"/>
        </w:rPr>
      </w:pPr>
      <w:r w:rsidRPr="00C04C4B">
        <w:rPr>
          <w:rFonts w:ascii="Garamond" w:hAnsi="Garamond"/>
          <w:lang w:val="es-CO"/>
        </w:rPr>
        <w:t>La ejecución del proyecto implica el desarrollo de actividades constructivas que deben cumplir estrictamente con parámetros técnicos definidos en estudios y diseños, especificaciones de materiales, procedimientos constructivos y criterios de calidad exigidos por la normativa vigente y los lineamientos sectoriales. En este contexto, la interventoría permite ejercer un control técnico permanente y especializado sobre cada una de las fases del proceso constructivo, desde el replanteo hasta la entrega final de la obra.</w:t>
      </w:r>
    </w:p>
    <w:p w14:paraId="76BCD652" w14:textId="77777777" w:rsidR="001E2B1A" w:rsidRPr="00C04C4B" w:rsidRDefault="001E2B1A" w:rsidP="001E2B1A">
      <w:pPr>
        <w:jc w:val="both"/>
        <w:rPr>
          <w:rFonts w:ascii="Garamond" w:hAnsi="Garamond"/>
          <w:lang w:val="es-CO"/>
        </w:rPr>
      </w:pPr>
    </w:p>
    <w:p w14:paraId="58F2528D" w14:textId="59585539" w:rsidR="001E2B1A" w:rsidRPr="00C04C4B" w:rsidRDefault="001E2B1A" w:rsidP="001E2B1A">
      <w:pPr>
        <w:jc w:val="both"/>
        <w:rPr>
          <w:rFonts w:ascii="Garamond" w:hAnsi="Garamond"/>
          <w:lang w:val="es-CO"/>
        </w:rPr>
      </w:pPr>
      <w:r w:rsidRPr="00C04C4B">
        <w:rPr>
          <w:rFonts w:ascii="Garamond" w:hAnsi="Garamond"/>
          <w:lang w:val="es-CO"/>
        </w:rPr>
        <w:t>Adicionalmente, posibilita la verificación de la idoneidad de los materiales mediante la revisión de ensayos de laboratorio, el control de procesos constructivos en campo y la validación de los criterios de aceptación de cada actividad. Esto reduce la probabilidad de fallas estructurales, defectos constructivos o incumplimientos técnicos que puedan afectar la funcionalidad, seguridad y vida útil de la infraestructura.</w:t>
      </w:r>
    </w:p>
    <w:p w14:paraId="2CCA6099" w14:textId="77777777" w:rsidR="001E2B1A" w:rsidRPr="00C04C4B" w:rsidRDefault="001E2B1A" w:rsidP="001E2B1A">
      <w:pPr>
        <w:jc w:val="both"/>
        <w:rPr>
          <w:rFonts w:ascii="Garamond" w:hAnsi="Garamond"/>
          <w:lang w:val="es-CO"/>
        </w:rPr>
      </w:pPr>
    </w:p>
    <w:p w14:paraId="6355C12A" w14:textId="77777777" w:rsidR="001E2B1A" w:rsidRPr="00C04C4B" w:rsidRDefault="001E2B1A" w:rsidP="001E2B1A">
      <w:pPr>
        <w:jc w:val="both"/>
        <w:rPr>
          <w:rFonts w:ascii="Garamond" w:hAnsi="Garamond"/>
          <w:lang w:val="es-CO"/>
        </w:rPr>
      </w:pPr>
      <w:r w:rsidRPr="00C04C4B">
        <w:rPr>
          <w:rFonts w:ascii="Garamond" w:hAnsi="Garamond"/>
          <w:lang w:val="es-CO"/>
        </w:rPr>
        <w:t>Así mismo, la interventoría garantiza la correcta interpretación y aplicación de los diseños, evitando desviaciones técnicas que puedan generar reprocesos, mayores costos o deterioro prematuro de la obra, consolidándose como el principal mecanismo de aseguramiento de la calidad del proyecto.</w:t>
      </w:r>
    </w:p>
    <w:p w14:paraId="6BE04F35" w14:textId="77777777" w:rsidR="001E2B1A" w:rsidRPr="00C04C4B" w:rsidRDefault="001E2B1A" w:rsidP="001E2B1A">
      <w:pPr>
        <w:jc w:val="both"/>
        <w:rPr>
          <w:rFonts w:ascii="Garamond" w:hAnsi="Garamond"/>
          <w:lang w:val="es-CO"/>
        </w:rPr>
      </w:pPr>
    </w:p>
    <w:p w14:paraId="174B9420" w14:textId="77777777" w:rsidR="001E2B1A" w:rsidRPr="00C04C4B" w:rsidRDefault="001E2B1A" w:rsidP="001E2B1A">
      <w:pPr>
        <w:jc w:val="both"/>
        <w:rPr>
          <w:rFonts w:ascii="Garamond" w:hAnsi="Garamond"/>
          <w:lang w:val="es-CO"/>
        </w:rPr>
      </w:pPr>
      <w:r w:rsidRPr="00C04C4B">
        <w:rPr>
          <w:rFonts w:ascii="Garamond" w:hAnsi="Garamond"/>
          <w:lang w:val="es-CO"/>
        </w:rPr>
        <w:t>b. Razones institucionales</w:t>
      </w:r>
    </w:p>
    <w:p w14:paraId="0DE3058B" w14:textId="77777777" w:rsidR="001E2B1A" w:rsidRPr="00C04C4B" w:rsidRDefault="001E2B1A" w:rsidP="001E2B1A">
      <w:pPr>
        <w:jc w:val="both"/>
        <w:rPr>
          <w:rFonts w:ascii="Garamond" w:hAnsi="Garamond"/>
          <w:lang w:val="es-CO"/>
        </w:rPr>
      </w:pPr>
    </w:p>
    <w:p w14:paraId="497E4A72" w14:textId="56AEE062" w:rsidR="001E2B1A" w:rsidRPr="00C04C4B" w:rsidRDefault="001E2B1A" w:rsidP="001E2B1A">
      <w:pPr>
        <w:jc w:val="both"/>
        <w:rPr>
          <w:rFonts w:ascii="Garamond" w:hAnsi="Garamond"/>
          <w:lang w:val="es-CO"/>
        </w:rPr>
      </w:pPr>
      <w:r w:rsidRPr="00C04C4B">
        <w:rPr>
          <w:rFonts w:ascii="Garamond" w:hAnsi="Garamond"/>
          <w:lang w:val="es-CO"/>
        </w:rPr>
        <w:t>El Fondo de Desarrollo Local, en su rol de ejecutor de proyectos de inversión, debe garantizar no solo la materialización de las obras, sino también la adecuada vigilancia de su ejecución. No obstante, su estructura organizacional no está concebida para realizar seguimiento permanente, especializado y en tiempo real a todos los componentes de un contrato de obra, especialmente cuando estos involucran múltiples disciplinas técnicas.</w:t>
      </w:r>
    </w:p>
    <w:p w14:paraId="0CFAC172" w14:textId="6D284D5C" w:rsidR="001E2B1A" w:rsidRPr="00C04C4B" w:rsidRDefault="001E2B1A" w:rsidP="001E2B1A">
      <w:pPr>
        <w:jc w:val="both"/>
        <w:rPr>
          <w:rFonts w:ascii="Garamond" w:hAnsi="Garamond"/>
          <w:lang w:val="es-CO"/>
        </w:rPr>
      </w:pPr>
      <w:r w:rsidRPr="00C04C4B">
        <w:rPr>
          <w:rFonts w:ascii="Garamond" w:hAnsi="Garamond"/>
          <w:lang w:val="es-CO"/>
        </w:rPr>
        <w:t>La contratación de una interventoría externa permite fortalecer la capacidad institucional mediante la incorporación de un equipo interdisciplinario especializado que actúa como apoyo técnico en la toma de decisiones, garantizando independencia, objetividad y rigor en el control.</w:t>
      </w:r>
    </w:p>
    <w:p w14:paraId="3E2CC5D9" w14:textId="77777777" w:rsidR="001E2B1A" w:rsidRPr="00C04C4B" w:rsidRDefault="001E2B1A" w:rsidP="001E2B1A">
      <w:pPr>
        <w:jc w:val="both"/>
        <w:rPr>
          <w:rFonts w:ascii="Garamond" w:hAnsi="Garamond"/>
          <w:lang w:val="es-CO"/>
        </w:rPr>
      </w:pPr>
    </w:p>
    <w:p w14:paraId="0ADBF794" w14:textId="77777777" w:rsidR="001E2B1A" w:rsidRPr="00C04C4B" w:rsidRDefault="001E2B1A" w:rsidP="001E2B1A">
      <w:pPr>
        <w:jc w:val="both"/>
        <w:rPr>
          <w:rFonts w:ascii="Garamond" w:hAnsi="Garamond"/>
          <w:lang w:val="es-CO"/>
        </w:rPr>
      </w:pPr>
      <w:r w:rsidRPr="00C04C4B">
        <w:rPr>
          <w:rFonts w:ascii="Garamond" w:hAnsi="Garamond"/>
          <w:lang w:val="es-CO"/>
        </w:rPr>
        <w:t>De igual manera, contribuye a la reducción de riesgos asociados a errores de supervisión, omisiones o decisiones no suficientemente soportadas, y mejora la capacidad de respuesta de la entidad frente a situaciones imprevistas durante la ejecución contractual, fortaleciendo la gobernanza del proyecto.</w:t>
      </w:r>
    </w:p>
    <w:p w14:paraId="33B58EFB" w14:textId="77777777" w:rsidR="001E2B1A" w:rsidRPr="00C04C4B" w:rsidRDefault="001E2B1A" w:rsidP="001E2B1A">
      <w:pPr>
        <w:jc w:val="both"/>
        <w:rPr>
          <w:rFonts w:ascii="Garamond" w:hAnsi="Garamond"/>
          <w:lang w:val="es-CO"/>
        </w:rPr>
      </w:pPr>
    </w:p>
    <w:p w14:paraId="573AFF16" w14:textId="77777777" w:rsidR="001E2B1A" w:rsidRPr="00C04C4B" w:rsidRDefault="001E2B1A" w:rsidP="001E2B1A">
      <w:pPr>
        <w:jc w:val="both"/>
        <w:rPr>
          <w:rFonts w:ascii="Garamond" w:hAnsi="Garamond"/>
          <w:lang w:val="es-CO"/>
        </w:rPr>
      </w:pPr>
      <w:r w:rsidRPr="00C04C4B">
        <w:rPr>
          <w:rFonts w:ascii="Garamond" w:hAnsi="Garamond"/>
          <w:lang w:val="es-CO"/>
        </w:rPr>
        <w:t>c. Razones económicas</w:t>
      </w:r>
    </w:p>
    <w:p w14:paraId="22AD4B23" w14:textId="77777777" w:rsidR="001E2B1A" w:rsidRPr="00C04C4B" w:rsidRDefault="001E2B1A" w:rsidP="001E2B1A">
      <w:pPr>
        <w:jc w:val="both"/>
        <w:rPr>
          <w:rFonts w:ascii="Garamond" w:hAnsi="Garamond"/>
          <w:lang w:val="es-CO"/>
        </w:rPr>
      </w:pPr>
    </w:p>
    <w:p w14:paraId="0D58C8E9" w14:textId="50BAA087" w:rsidR="001E2B1A" w:rsidRPr="00C04C4B" w:rsidRDefault="001E2B1A" w:rsidP="001E2B1A">
      <w:pPr>
        <w:jc w:val="both"/>
        <w:rPr>
          <w:rFonts w:ascii="Garamond" w:hAnsi="Garamond"/>
          <w:lang w:val="es-CO"/>
        </w:rPr>
      </w:pPr>
      <w:r w:rsidRPr="00C04C4B">
        <w:rPr>
          <w:rFonts w:ascii="Garamond" w:hAnsi="Garamond"/>
          <w:lang w:val="es-CO"/>
        </w:rPr>
        <w:t>Desde el punto de vista financiero, la interventoría constituye un mecanismo de control que permite asegurar la correcta ejecución de los recursos públicos mediante la verificación detallada de cantidades de obra, precios unitarios, actividades ejecutadas y cumplimiento de condiciones contractuales antes de autorizar pagos.</w:t>
      </w:r>
    </w:p>
    <w:p w14:paraId="222044EC" w14:textId="109902B2" w:rsidR="001E2B1A" w:rsidRPr="00C04C4B" w:rsidRDefault="001E2B1A" w:rsidP="001E2B1A">
      <w:pPr>
        <w:jc w:val="both"/>
        <w:rPr>
          <w:rFonts w:ascii="Garamond" w:hAnsi="Garamond"/>
          <w:lang w:val="es-CO"/>
        </w:rPr>
      </w:pPr>
      <w:r w:rsidRPr="00C04C4B">
        <w:rPr>
          <w:rFonts w:ascii="Garamond" w:hAnsi="Garamond"/>
          <w:lang w:val="es-CO"/>
        </w:rPr>
        <w:t>Este control evita el reconocimiento de obras no ejecutadas, mal ejecutadas o que no cumplen con las especificaciones técnicas, reduciendo significativamente el riesgo de sobrecostos, desviaciones presupuestales o pérdidas de recursos.</w:t>
      </w:r>
    </w:p>
    <w:p w14:paraId="59093171" w14:textId="77777777" w:rsidR="001E2B1A" w:rsidRPr="00C04C4B" w:rsidRDefault="001E2B1A" w:rsidP="001E2B1A">
      <w:pPr>
        <w:jc w:val="both"/>
        <w:rPr>
          <w:rFonts w:ascii="Garamond" w:hAnsi="Garamond"/>
          <w:lang w:val="es-CO"/>
        </w:rPr>
      </w:pPr>
    </w:p>
    <w:p w14:paraId="4B00E701" w14:textId="7095FB24" w:rsidR="001E2B1A" w:rsidRPr="00C04C4B" w:rsidRDefault="001E2B1A" w:rsidP="001E2B1A">
      <w:pPr>
        <w:jc w:val="both"/>
        <w:rPr>
          <w:rFonts w:ascii="Garamond" w:hAnsi="Garamond"/>
          <w:lang w:val="es-CO"/>
        </w:rPr>
      </w:pPr>
      <w:r w:rsidRPr="00C04C4B">
        <w:rPr>
          <w:rFonts w:ascii="Garamond" w:hAnsi="Garamond"/>
          <w:lang w:val="es-CO"/>
        </w:rPr>
        <w:t>Adicionalmente, la interventoría permite identificar oportunamente desviaciones en el cronograma o en la ejecución financiera, facilitando la adopción de medidas correctivas que optimicen el uso de los recursos disponibles.</w:t>
      </w:r>
    </w:p>
    <w:p w14:paraId="44D092B5" w14:textId="77777777" w:rsidR="001E2B1A" w:rsidRPr="00C04C4B" w:rsidRDefault="001E2B1A" w:rsidP="001E2B1A">
      <w:pPr>
        <w:jc w:val="both"/>
        <w:rPr>
          <w:rFonts w:ascii="Garamond" w:hAnsi="Garamond"/>
          <w:lang w:val="es-CO"/>
        </w:rPr>
      </w:pPr>
    </w:p>
    <w:p w14:paraId="7CAADFF6" w14:textId="77777777" w:rsidR="001E2B1A" w:rsidRPr="00C04C4B" w:rsidRDefault="001E2B1A" w:rsidP="001E2B1A">
      <w:pPr>
        <w:jc w:val="both"/>
        <w:rPr>
          <w:rFonts w:ascii="Garamond" w:hAnsi="Garamond"/>
          <w:lang w:val="es-CO"/>
        </w:rPr>
      </w:pPr>
      <w:r w:rsidRPr="00C04C4B">
        <w:rPr>
          <w:rFonts w:ascii="Garamond" w:hAnsi="Garamond"/>
          <w:lang w:val="es-CO"/>
        </w:rPr>
        <w:t>En términos de eficiencia, el costo de la interventoría resulta razonable y proporcional frente al valor del contrato de obra, en la medida en que previene costos mayores derivados de la corrección de fallas constructivas, litigios contractuales o intervenciones posteriores por deficiencias en la ejecución.</w:t>
      </w:r>
    </w:p>
    <w:p w14:paraId="425ECEF6" w14:textId="77777777" w:rsidR="001E2B1A" w:rsidRPr="00C04C4B" w:rsidRDefault="001E2B1A" w:rsidP="001E2B1A">
      <w:pPr>
        <w:jc w:val="both"/>
        <w:rPr>
          <w:rFonts w:ascii="Garamond" w:hAnsi="Garamond"/>
          <w:lang w:val="es-CO"/>
        </w:rPr>
      </w:pPr>
    </w:p>
    <w:p w14:paraId="4A36911A" w14:textId="77777777" w:rsidR="001E2B1A" w:rsidRPr="00C04C4B" w:rsidRDefault="001E2B1A" w:rsidP="001E2B1A">
      <w:pPr>
        <w:jc w:val="both"/>
        <w:rPr>
          <w:rFonts w:ascii="Garamond" w:hAnsi="Garamond"/>
          <w:lang w:val="es-CO"/>
        </w:rPr>
      </w:pPr>
      <w:r w:rsidRPr="00C04C4B">
        <w:rPr>
          <w:rFonts w:ascii="Garamond" w:hAnsi="Garamond"/>
          <w:lang w:val="es-CO"/>
        </w:rPr>
        <w:t>d. Razones sociales</w:t>
      </w:r>
    </w:p>
    <w:p w14:paraId="63F607CC" w14:textId="77777777" w:rsidR="001E2B1A" w:rsidRPr="00C04C4B" w:rsidRDefault="001E2B1A" w:rsidP="001E2B1A">
      <w:pPr>
        <w:jc w:val="both"/>
        <w:rPr>
          <w:rFonts w:ascii="Garamond" w:hAnsi="Garamond"/>
          <w:lang w:val="es-CO"/>
        </w:rPr>
      </w:pPr>
    </w:p>
    <w:p w14:paraId="2A697534" w14:textId="6E08D591" w:rsidR="001E2B1A" w:rsidRPr="00C04C4B" w:rsidRDefault="001E2B1A" w:rsidP="001E2B1A">
      <w:pPr>
        <w:jc w:val="both"/>
        <w:rPr>
          <w:rFonts w:ascii="Garamond" w:hAnsi="Garamond"/>
          <w:lang w:val="es-CO"/>
        </w:rPr>
      </w:pPr>
      <w:r w:rsidRPr="00C04C4B">
        <w:rPr>
          <w:rFonts w:ascii="Garamond" w:hAnsi="Garamond"/>
          <w:lang w:val="es-CO"/>
        </w:rPr>
        <w:t>El proyecto tiene un impacto directo en la comunidad, en tanto está orientado a la generación de espacios públicos adecuados para la recreación, el deporte y la integración social. En este sentido, la interventoría juega un papel fundamental en garantizar que dichos espacios sean entregados en condiciones óptimas de calidad, seguridad, accesibilidad y funcionalidad.</w:t>
      </w:r>
    </w:p>
    <w:p w14:paraId="7CC6B489" w14:textId="77777777" w:rsidR="001E2B1A" w:rsidRPr="00C04C4B" w:rsidRDefault="001E2B1A" w:rsidP="001E2B1A">
      <w:pPr>
        <w:jc w:val="both"/>
        <w:rPr>
          <w:rFonts w:ascii="Garamond" w:hAnsi="Garamond"/>
          <w:lang w:val="es-CO"/>
        </w:rPr>
      </w:pPr>
    </w:p>
    <w:p w14:paraId="2AC20ECE" w14:textId="2BC9C890" w:rsidR="001E2B1A" w:rsidRPr="00C04C4B" w:rsidRDefault="001E2B1A" w:rsidP="001E2B1A">
      <w:pPr>
        <w:jc w:val="both"/>
        <w:rPr>
          <w:rFonts w:ascii="Garamond" w:hAnsi="Garamond"/>
          <w:lang w:val="es-CO"/>
        </w:rPr>
      </w:pPr>
      <w:r w:rsidRPr="00C04C4B">
        <w:rPr>
          <w:rFonts w:ascii="Garamond" w:hAnsi="Garamond"/>
          <w:lang w:val="es-CO"/>
        </w:rPr>
        <w:t>Además, contribuye a minimizar los impactos negativos derivados de la ejecución de la obra sobre la comunidad aledaña, mediante el seguimiento a la implementación de medidas de manejo social, control de afectaciones temporales y cumplimiento de condiciones de seguridad.</w:t>
      </w:r>
    </w:p>
    <w:p w14:paraId="771FF3E8" w14:textId="77777777" w:rsidR="001E2B1A" w:rsidRPr="00C04C4B" w:rsidRDefault="001E2B1A" w:rsidP="001E2B1A">
      <w:pPr>
        <w:jc w:val="both"/>
        <w:rPr>
          <w:rFonts w:ascii="Garamond" w:hAnsi="Garamond"/>
          <w:lang w:val="es-CO"/>
        </w:rPr>
      </w:pPr>
    </w:p>
    <w:p w14:paraId="71BEB02D" w14:textId="77777777" w:rsidR="001E2B1A" w:rsidRPr="00C04C4B" w:rsidRDefault="001E2B1A" w:rsidP="001E2B1A">
      <w:pPr>
        <w:jc w:val="both"/>
        <w:rPr>
          <w:rFonts w:ascii="Garamond" w:hAnsi="Garamond"/>
          <w:lang w:val="es-CO"/>
        </w:rPr>
      </w:pPr>
      <w:r w:rsidRPr="00C04C4B">
        <w:rPr>
          <w:rFonts w:ascii="Garamond" w:hAnsi="Garamond"/>
          <w:lang w:val="es-CO"/>
        </w:rPr>
        <w:t>La adecuada vigilancia de la ejecución permite asegurar que los beneficios esperados del proyecto se materialicen de manera efectiva, fortaleciendo la confianza de la ciudadanía en la gestión pública y garantizando que la inversión se traduzca en mejoras reales en la calidad de vida de los habitantes.</w:t>
      </w:r>
    </w:p>
    <w:p w14:paraId="3B79A928" w14:textId="77777777" w:rsidR="001E2B1A" w:rsidRPr="00C04C4B" w:rsidRDefault="001E2B1A" w:rsidP="001E2B1A">
      <w:pPr>
        <w:jc w:val="both"/>
        <w:rPr>
          <w:rFonts w:ascii="Garamond" w:hAnsi="Garamond"/>
          <w:lang w:val="es-CO"/>
        </w:rPr>
      </w:pPr>
    </w:p>
    <w:p w14:paraId="455B3248" w14:textId="77777777" w:rsidR="001E2B1A" w:rsidRPr="00C04C4B" w:rsidRDefault="001E2B1A" w:rsidP="001E2B1A">
      <w:pPr>
        <w:jc w:val="both"/>
        <w:rPr>
          <w:rFonts w:ascii="Garamond" w:hAnsi="Garamond"/>
          <w:lang w:val="es-CO"/>
        </w:rPr>
      </w:pPr>
      <w:r w:rsidRPr="00C04C4B">
        <w:rPr>
          <w:rFonts w:ascii="Garamond" w:hAnsi="Garamond"/>
          <w:lang w:val="es-CO"/>
        </w:rPr>
        <w:t>e. Razones jurídicas</w:t>
      </w:r>
    </w:p>
    <w:p w14:paraId="56A4CA53" w14:textId="4E5E94B4" w:rsidR="001E2B1A" w:rsidRPr="00C04C4B" w:rsidRDefault="001E2B1A" w:rsidP="001E2B1A">
      <w:pPr>
        <w:jc w:val="both"/>
        <w:rPr>
          <w:rFonts w:ascii="Garamond" w:hAnsi="Garamond"/>
          <w:lang w:val="es-CO"/>
        </w:rPr>
      </w:pPr>
      <w:r w:rsidRPr="00C04C4B">
        <w:rPr>
          <w:rFonts w:ascii="Garamond" w:hAnsi="Garamond"/>
          <w:lang w:val="es-CO"/>
        </w:rPr>
        <w:t>Desde el punto de vista jurídico, la interventoría garantiza el cumplimiento de las disposiciones que rigen la contratación estatal, particularmente los principios de transparencia, responsabilidad, economía y selección objetiva establecidos en la Ley 80 de 1993 y la Ley 1150 de 2007.</w:t>
      </w:r>
    </w:p>
    <w:p w14:paraId="1D7BA731" w14:textId="77777777" w:rsidR="001E2B1A" w:rsidRPr="00C04C4B" w:rsidRDefault="001E2B1A" w:rsidP="001E2B1A">
      <w:pPr>
        <w:jc w:val="both"/>
        <w:rPr>
          <w:rFonts w:ascii="Garamond" w:hAnsi="Garamond"/>
          <w:lang w:val="es-CO"/>
        </w:rPr>
      </w:pPr>
    </w:p>
    <w:p w14:paraId="0AF2A7A6" w14:textId="33CC8E95" w:rsidR="001E2B1A" w:rsidRPr="00C04C4B" w:rsidRDefault="001E2B1A" w:rsidP="001E2B1A">
      <w:pPr>
        <w:jc w:val="both"/>
        <w:rPr>
          <w:rFonts w:ascii="Garamond" w:hAnsi="Garamond"/>
          <w:lang w:val="es-CO"/>
        </w:rPr>
      </w:pPr>
      <w:r w:rsidRPr="00C04C4B">
        <w:rPr>
          <w:rFonts w:ascii="Garamond" w:hAnsi="Garamond"/>
          <w:lang w:val="es-CO"/>
        </w:rPr>
        <w:t>Así mismo, permite dar cumplimiento a lo dispuesto en el Decreto 1082 de 2015 en materia de control y seguimiento a la ejecución contractual.</w:t>
      </w:r>
    </w:p>
    <w:p w14:paraId="4986AB18" w14:textId="77777777" w:rsidR="001E2B1A" w:rsidRPr="00C04C4B" w:rsidRDefault="001E2B1A" w:rsidP="001E2B1A">
      <w:pPr>
        <w:jc w:val="both"/>
        <w:rPr>
          <w:rFonts w:ascii="Garamond" w:hAnsi="Garamond"/>
          <w:lang w:val="es-CO"/>
        </w:rPr>
      </w:pPr>
    </w:p>
    <w:p w14:paraId="1A164873" w14:textId="0F039FF1" w:rsidR="001E2B1A" w:rsidRPr="00C04C4B" w:rsidRDefault="001E2B1A" w:rsidP="001E2B1A">
      <w:pPr>
        <w:jc w:val="both"/>
        <w:rPr>
          <w:rFonts w:ascii="Garamond" w:hAnsi="Garamond"/>
          <w:lang w:val="es-CO"/>
        </w:rPr>
      </w:pPr>
      <w:r w:rsidRPr="00C04C4B">
        <w:rPr>
          <w:rFonts w:ascii="Garamond" w:hAnsi="Garamond"/>
          <w:lang w:val="es-CO"/>
        </w:rPr>
        <w:lastRenderedPageBreak/>
        <w:t>La presencia de un interventor independiente garantiza la adecuada documentación de todas las actuaciones del contrato, la trazabilidad de las decisiones adoptadas y la correcta sustentación de actos administrativos como modificaciones, prórrogas o eventuales declaratorias de incumplimiento.</w:t>
      </w:r>
    </w:p>
    <w:p w14:paraId="191B92E8" w14:textId="77777777" w:rsidR="001E2B1A" w:rsidRPr="00C04C4B" w:rsidRDefault="001E2B1A" w:rsidP="001E2B1A">
      <w:pPr>
        <w:jc w:val="both"/>
        <w:rPr>
          <w:rFonts w:ascii="Garamond" w:hAnsi="Garamond"/>
          <w:lang w:val="es-CO"/>
        </w:rPr>
      </w:pPr>
    </w:p>
    <w:p w14:paraId="6D059BEB" w14:textId="0DA6EE13" w:rsidR="0022086B" w:rsidRPr="00C04C4B" w:rsidRDefault="001E2B1A" w:rsidP="001E2B1A">
      <w:pPr>
        <w:jc w:val="both"/>
        <w:rPr>
          <w:rFonts w:ascii="Garamond" w:hAnsi="Garamond"/>
          <w:lang w:val="es-CO"/>
        </w:rPr>
      </w:pPr>
      <w:r w:rsidRPr="00C04C4B">
        <w:rPr>
          <w:rFonts w:ascii="Garamond" w:hAnsi="Garamond"/>
          <w:lang w:val="es-CO"/>
        </w:rPr>
        <w:t>De igual manera, fortalece la posición jurídica de la entidad frente a eventuales controversias contractuales y facilita la rendición de cuentas ante los órganos de control, al contar con soportes técnicos y jurídicos suficientes que respalden la ejecución del contrato.</w:t>
      </w:r>
    </w:p>
    <w:p w14:paraId="40E32F55" w14:textId="77777777" w:rsidR="001E2B1A" w:rsidRPr="001E2B1A" w:rsidRDefault="001E2B1A" w:rsidP="001E2B1A">
      <w:pPr>
        <w:widowControl/>
        <w:spacing w:before="100" w:beforeAutospacing="1" w:after="100" w:afterAutospacing="1"/>
        <w:jc w:val="both"/>
        <w:rPr>
          <w:rFonts w:ascii="Garamond" w:hAnsi="Garamond"/>
          <w:lang w:val="es-CO"/>
        </w:rPr>
      </w:pPr>
      <w:r w:rsidRPr="001E2B1A">
        <w:rPr>
          <w:rFonts w:ascii="Garamond" w:hAnsi="Garamond"/>
          <w:lang w:val="es-CO"/>
        </w:rPr>
        <w:t>La no contratación de una interventoría especializada implicaría riesgos significativos para la Entidad, tanto en el ámbito técnico como administrativo, financiero y jurídico. En el componente técnico, se incrementa la probabilidad de ejecución de actividades constructivas sin el debido control de calidad, lo que puede derivar en fallas estructurales, uso inadecuado de materiales o incumplimiento de las especificaciones técnicas, afectando la funcionalidad y vida útil de la obra.</w:t>
      </w:r>
    </w:p>
    <w:p w14:paraId="669BB0FC" w14:textId="77777777" w:rsidR="001E2B1A" w:rsidRPr="001E2B1A" w:rsidRDefault="001E2B1A" w:rsidP="001E2B1A">
      <w:pPr>
        <w:widowControl/>
        <w:spacing w:before="100" w:beforeAutospacing="1" w:after="100" w:afterAutospacing="1"/>
        <w:jc w:val="both"/>
        <w:rPr>
          <w:rFonts w:ascii="Garamond" w:hAnsi="Garamond"/>
          <w:lang w:val="es-CO"/>
        </w:rPr>
      </w:pPr>
      <w:r w:rsidRPr="001E2B1A">
        <w:rPr>
          <w:rFonts w:ascii="Garamond" w:hAnsi="Garamond"/>
          <w:lang w:val="es-CO"/>
        </w:rPr>
        <w:t>Desde el punto de vista financiero, la ausencia de un control independiente aumenta el riesgo de pagos por actividades no ejecutadas o ejecutadas de manera deficiente, así como desviaciones presupuestales que comprometan la correcta inversión de los recursos públicos. En términos administrativos, se debilita la capacidad de seguimiento permanente al contrato, dificultando la identificación oportuna de incumplimientos, retrasos o situaciones que requieran decisiones correctivas.</w:t>
      </w:r>
    </w:p>
    <w:p w14:paraId="7DE19CF8" w14:textId="77777777" w:rsidR="001E2B1A" w:rsidRPr="001E2B1A" w:rsidRDefault="001E2B1A" w:rsidP="001E2B1A">
      <w:pPr>
        <w:widowControl/>
        <w:spacing w:before="100" w:beforeAutospacing="1" w:after="100" w:afterAutospacing="1"/>
        <w:jc w:val="both"/>
        <w:rPr>
          <w:rFonts w:ascii="Garamond" w:hAnsi="Garamond"/>
          <w:lang w:val="es-CO"/>
        </w:rPr>
      </w:pPr>
      <w:r w:rsidRPr="001E2B1A">
        <w:rPr>
          <w:rFonts w:ascii="Garamond" w:hAnsi="Garamond"/>
          <w:lang w:val="es-CO"/>
        </w:rPr>
        <w:t>En el ámbito jurídico, la falta de interventoría limita la trazabilidad de las actuaciones contractuales, debilita el soporte probatorio frente a eventuales controversias y expone a la Entidad a riesgos de responsabilidad por omisión en el deber de control. Así mismo, puede generar observaciones por parte de los órganos de control, en la medida en que no se garantizaría un esquema adecuado de vigilancia sobre la ejecución contractual.</w:t>
      </w:r>
    </w:p>
    <w:p w14:paraId="534FC5BC" w14:textId="77777777" w:rsidR="001E2B1A" w:rsidRPr="001E2B1A" w:rsidRDefault="001E2B1A" w:rsidP="001E2B1A">
      <w:pPr>
        <w:widowControl/>
        <w:spacing w:before="100" w:beforeAutospacing="1" w:after="100" w:afterAutospacing="1"/>
        <w:jc w:val="both"/>
        <w:rPr>
          <w:rFonts w:ascii="Garamond" w:hAnsi="Garamond"/>
          <w:lang w:val="es-CO"/>
        </w:rPr>
      </w:pPr>
      <w:r w:rsidRPr="001E2B1A">
        <w:rPr>
          <w:rFonts w:ascii="Garamond" w:hAnsi="Garamond"/>
          <w:lang w:val="es-CO"/>
        </w:rPr>
        <w:t>Finalmente, desde una perspectiva institucional y social, la no implementación de un esquema de interventoría comprometería la calidad del resultado final del proyecto, afectando la confianza de la ciudadanía en la gestión pública y limitando el cumplimiento efectivo de los objetivos del proyecto de inversión.</w:t>
      </w:r>
    </w:p>
    <w:p w14:paraId="3661B003" w14:textId="77777777" w:rsidR="001E2B1A" w:rsidRPr="001E2B1A" w:rsidRDefault="001E2B1A" w:rsidP="001E2B1A">
      <w:pPr>
        <w:widowControl/>
        <w:spacing w:before="100" w:beforeAutospacing="1" w:after="100" w:afterAutospacing="1"/>
        <w:jc w:val="both"/>
        <w:rPr>
          <w:rFonts w:ascii="Garamond" w:hAnsi="Garamond"/>
          <w:lang w:val="es-CO"/>
        </w:rPr>
      </w:pPr>
      <w:r w:rsidRPr="001E2B1A">
        <w:rPr>
          <w:rFonts w:ascii="Garamond" w:hAnsi="Garamond"/>
          <w:lang w:val="es-CO"/>
        </w:rPr>
        <w:t>En consecuencia, la contratación de la interventoría no solo resulta conveniente, sino necesaria para mitigar los riesgos asociados a la ejecución del contrato de obra y garantizar que el proyecto se desarrolle bajo condiciones de calidad, control, transparencia y responsabilidad.</w:t>
      </w:r>
    </w:p>
    <w:p w14:paraId="01F51FAB" w14:textId="77777777" w:rsidR="001E2B1A" w:rsidRPr="00C04C4B" w:rsidRDefault="001E2B1A" w:rsidP="001E2B1A">
      <w:pPr>
        <w:jc w:val="both"/>
        <w:rPr>
          <w:rFonts w:ascii="Garamond" w:eastAsia="Garamond" w:hAnsi="Garamond" w:cs="Garamond"/>
        </w:rPr>
      </w:pPr>
    </w:p>
    <w:p w14:paraId="0B3B7B30" w14:textId="77777777" w:rsidR="0022086B" w:rsidRPr="00C04C4B" w:rsidRDefault="0065443B">
      <w:pPr>
        <w:jc w:val="both"/>
        <w:rPr>
          <w:rFonts w:ascii="Garamond" w:eastAsia="Garamond" w:hAnsi="Garamond" w:cs="Garamond"/>
          <w:b/>
        </w:rPr>
      </w:pPr>
      <w:r w:rsidRPr="00C04C4B">
        <w:rPr>
          <w:rFonts w:ascii="Garamond" w:eastAsia="Garamond" w:hAnsi="Garamond" w:cs="Garamond"/>
          <w:b/>
        </w:rPr>
        <w:t>2.1 OBJETO A CONTRATAR</w:t>
      </w:r>
    </w:p>
    <w:p w14:paraId="03F19AD0" w14:textId="77777777" w:rsidR="0022086B" w:rsidRPr="00C04C4B" w:rsidRDefault="0022086B">
      <w:pPr>
        <w:jc w:val="both"/>
        <w:rPr>
          <w:rFonts w:ascii="Garamond" w:eastAsia="Garamond" w:hAnsi="Garamond" w:cs="Garamond"/>
        </w:rPr>
      </w:pPr>
    </w:p>
    <w:p w14:paraId="66CCBDC8" w14:textId="00E5D80F" w:rsidR="0022086B" w:rsidRPr="00C04C4B" w:rsidRDefault="0065443B">
      <w:pPr>
        <w:jc w:val="both"/>
        <w:rPr>
          <w:rFonts w:ascii="Garamond" w:eastAsia="Garamond" w:hAnsi="Garamond" w:cs="Garamond"/>
        </w:rPr>
      </w:pPr>
      <w:r w:rsidRPr="00C04C4B">
        <w:rPr>
          <w:rFonts w:ascii="Garamond" w:eastAsia="Garamond" w:hAnsi="Garamond" w:cs="Garamond"/>
        </w:rPr>
        <w:t xml:space="preserve">El contrato que se pretende celebrar tendrá por objeto </w:t>
      </w:r>
      <w:r w:rsidRPr="00C04C4B">
        <w:rPr>
          <w:rFonts w:ascii="Garamond" w:eastAsia="Garamond" w:hAnsi="Garamond" w:cs="Garamond"/>
          <w:b/>
        </w:rPr>
        <w:t xml:space="preserve">“REALIZAR LA INTERVENTORÍA TÉCNICA, ADMINISTRATIVA, FINANCIERA, JURÍDICA, AMBIENTAL, SOCIAL, Y DE SEGURIDAD Y SALUD EN EL TRABAJO  AL CONTRATO QUE TIENE COMO OBJETO: </w:t>
      </w:r>
      <w:r w:rsidR="00E072D9" w:rsidRPr="00C04C4B">
        <w:rPr>
          <w:rFonts w:ascii="Garamond" w:eastAsia="Garamond" w:hAnsi="Garamond" w:cs="Garamond"/>
          <w:b/>
        </w:rPr>
        <w:t xml:space="preserve">CONTRATAR POR EL SISTEMA DE PRECIOS UNITARIOS FIJOS Y A MONTO AGOTABLE LA CONSTRUCCIÓN </w:t>
      </w:r>
      <w:r w:rsidR="00E072D9" w:rsidRPr="00C04C4B">
        <w:rPr>
          <w:rFonts w:ascii="Garamond" w:eastAsia="Garamond" w:hAnsi="Garamond" w:cs="Garamond"/>
          <w:b/>
        </w:rPr>
        <w:lastRenderedPageBreak/>
        <w:t>DE UN PARQUE EN LA LOCALIDAD DE TUNJUELITO EN LA CIUDAD DE BOGOTÁ D.C.</w:t>
      </w:r>
      <w:r w:rsidRPr="00C04C4B">
        <w:rPr>
          <w:rFonts w:ascii="Garamond" w:eastAsia="Garamond" w:hAnsi="Garamond" w:cs="Garamond"/>
          <w:b/>
        </w:rPr>
        <w:t>”.</w:t>
      </w:r>
    </w:p>
    <w:p w14:paraId="57997F8A" w14:textId="77777777" w:rsidR="0022086B" w:rsidRPr="00C04C4B" w:rsidRDefault="0022086B">
      <w:pPr>
        <w:jc w:val="both"/>
        <w:rPr>
          <w:rFonts w:ascii="Garamond" w:eastAsia="Garamond" w:hAnsi="Garamond" w:cs="Garamond"/>
        </w:rPr>
      </w:pPr>
    </w:p>
    <w:p w14:paraId="36BEC1D3" w14:textId="77777777" w:rsidR="0022086B" w:rsidRPr="00C04C4B" w:rsidRDefault="0022086B">
      <w:pPr>
        <w:jc w:val="both"/>
        <w:rPr>
          <w:rFonts w:ascii="Garamond" w:eastAsia="Garamond" w:hAnsi="Garamond" w:cs="Garamond"/>
        </w:rPr>
      </w:pPr>
    </w:p>
    <w:p w14:paraId="4F1E9CAF" w14:textId="77777777" w:rsidR="0022086B" w:rsidRPr="00C04C4B" w:rsidRDefault="0065443B">
      <w:pPr>
        <w:jc w:val="both"/>
        <w:rPr>
          <w:rFonts w:ascii="Garamond" w:eastAsia="Garamond" w:hAnsi="Garamond" w:cs="Garamond"/>
          <w:b/>
        </w:rPr>
      </w:pPr>
      <w:r w:rsidRPr="00C04C4B">
        <w:rPr>
          <w:rFonts w:ascii="Garamond" w:eastAsia="Garamond" w:hAnsi="Garamond" w:cs="Garamond"/>
          <w:b/>
        </w:rPr>
        <w:t xml:space="preserve">2.2. CÓDIGO CLASIFICADOR DE BIENES Y SERVICIOS </w:t>
      </w:r>
      <w:proofErr w:type="spellStart"/>
      <w:r w:rsidRPr="00C04C4B">
        <w:rPr>
          <w:rFonts w:ascii="Garamond" w:eastAsia="Garamond" w:hAnsi="Garamond" w:cs="Garamond"/>
          <w:b/>
        </w:rPr>
        <w:t>UNSPSC</w:t>
      </w:r>
      <w:proofErr w:type="spellEnd"/>
    </w:p>
    <w:p w14:paraId="646DC807" w14:textId="77777777" w:rsidR="0022086B" w:rsidRPr="00C04C4B" w:rsidRDefault="0022086B">
      <w:pPr>
        <w:jc w:val="both"/>
        <w:rPr>
          <w:rFonts w:ascii="Garamond" w:eastAsia="Garamond" w:hAnsi="Garamond" w:cs="Garamond"/>
        </w:rPr>
      </w:pPr>
    </w:p>
    <w:p w14:paraId="629FA84E" w14:textId="77777777" w:rsidR="0022086B" w:rsidRPr="00C04C4B" w:rsidRDefault="0065443B">
      <w:pPr>
        <w:jc w:val="both"/>
        <w:rPr>
          <w:rFonts w:ascii="Garamond" w:eastAsia="Garamond" w:hAnsi="Garamond" w:cs="Garamond"/>
        </w:rPr>
      </w:pPr>
      <w:r w:rsidRPr="00C04C4B">
        <w:rPr>
          <w:rFonts w:ascii="Garamond" w:eastAsia="Garamond" w:hAnsi="Garamond" w:cs="Garamond"/>
        </w:rPr>
        <w:t xml:space="preserve">De acuerdo con el numeral 1º del Artículo 22 del Decreto 1510 de 2013, compilado por el Decreto 1082 de 2015, se debe señalar la descripción técnica, detallada y completa del bien o servicio objeto del contrato, por lo tanto, en atención a la G-CBS-02 “Guía para la Codificación de bienes y servicios de acuerdo con el código estándar de productos y servicios de Naciones Unidas – </w:t>
      </w:r>
      <w:proofErr w:type="spellStart"/>
      <w:r w:rsidRPr="00C04C4B">
        <w:rPr>
          <w:rFonts w:ascii="Garamond" w:eastAsia="Garamond" w:hAnsi="Garamond" w:cs="Garamond"/>
        </w:rPr>
        <w:t>UNSPSC</w:t>
      </w:r>
      <w:proofErr w:type="spellEnd"/>
      <w:r w:rsidRPr="00C04C4B">
        <w:rPr>
          <w:rFonts w:ascii="Garamond" w:eastAsia="Garamond" w:hAnsi="Garamond" w:cs="Garamond"/>
        </w:rPr>
        <w:t xml:space="preserve"> V.14.080” por Colombia Compra Eficiente, se realiza la siguiente codificación de los servicios a contratar:</w:t>
      </w:r>
    </w:p>
    <w:p w14:paraId="2208AA87" w14:textId="77777777" w:rsidR="0022086B" w:rsidRPr="00C04C4B" w:rsidRDefault="0022086B">
      <w:pPr>
        <w:jc w:val="both"/>
        <w:rPr>
          <w:rFonts w:ascii="Garamond" w:eastAsia="Garamond" w:hAnsi="Garamond" w:cs="Garamond"/>
        </w:rPr>
      </w:pPr>
    </w:p>
    <w:p w14:paraId="4182CFFD" w14:textId="77777777" w:rsidR="0022086B" w:rsidRPr="00C04C4B" w:rsidRDefault="0065443B">
      <w:pPr>
        <w:jc w:val="both"/>
        <w:rPr>
          <w:rFonts w:ascii="Garamond" w:eastAsia="Garamond" w:hAnsi="Garamond" w:cs="Garamond"/>
        </w:rPr>
      </w:pPr>
      <w:r w:rsidRPr="00C04C4B">
        <w:rPr>
          <w:rFonts w:ascii="Garamond" w:eastAsia="Garamond" w:hAnsi="Garamond" w:cs="Garamond"/>
        </w:rPr>
        <w:t>Que el objeto del presente proceso de contratación está codificado en el Clasificador de Bienes y Servicios de Naciones Unidas (</w:t>
      </w:r>
      <w:proofErr w:type="spellStart"/>
      <w:r w:rsidRPr="00C04C4B">
        <w:rPr>
          <w:rFonts w:ascii="Garamond" w:eastAsia="Garamond" w:hAnsi="Garamond" w:cs="Garamond"/>
        </w:rPr>
        <w:t>UNSPSC</w:t>
      </w:r>
      <w:proofErr w:type="spellEnd"/>
      <w:r w:rsidRPr="00C04C4B">
        <w:rPr>
          <w:rFonts w:ascii="Garamond" w:eastAsia="Garamond" w:hAnsi="Garamond" w:cs="Garamond"/>
        </w:rPr>
        <w:t>) con los siguientes códigos:</w:t>
      </w:r>
    </w:p>
    <w:p w14:paraId="5271F9AC" w14:textId="77777777" w:rsidR="0022086B" w:rsidRPr="00C04C4B" w:rsidRDefault="0022086B">
      <w:pPr>
        <w:jc w:val="both"/>
        <w:rPr>
          <w:rFonts w:ascii="Garamond" w:eastAsia="Garamond" w:hAnsi="Garamond" w:cs="Garamond"/>
        </w:rPr>
      </w:pPr>
    </w:p>
    <w:tbl>
      <w:tblPr>
        <w:tblStyle w:val="af9"/>
        <w:tblW w:w="9360"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95"/>
        <w:gridCol w:w="2070"/>
        <w:gridCol w:w="1695"/>
        <w:gridCol w:w="2475"/>
        <w:gridCol w:w="1725"/>
      </w:tblGrid>
      <w:tr w:rsidR="0022086B" w:rsidRPr="00C04C4B" w14:paraId="43596705" w14:textId="77777777">
        <w:trPr>
          <w:trHeight w:val="650"/>
        </w:trPr>
        <w:tc>
          <w:tcPr>
            <w:tcW w:w="1395" w:type="dxa"/>
          </w:tcPr>
          <w:p w14:paraId="79841060" w14:textId="77777777" w:rsidR="0022086B" w:rsidRPr="00C04C4B" w:rsidRDefault="0065443B">
            <w:pPr>
              <w:jc w:val="both"/>
              <w:rPr>
                <w:rFonts w:ascii="Garamond" w:eastAsia="Garamond" w:hAnsi="Garamond" w:cs="Garamond"/>
              </w:rPr>
            </w:pPr>
            <w:r w:rsidRPr="00C04C4B">
              <w:rPr>
                <w:rFonts w:ascii="Garamond" w:eastAsia="Garamond" w:hAnsi="Garamond" w:cs="Garamond"/>
              </w:rPr>
              <w:t>GRUPO</w:t>
            </w:r>
          </w:p>
        </w:tc>
        <w:tc>
          <w:tcPr>
            <w:tcW w:w="2070" w:type="dxa"/>
          </w:tcPr>
          <w:p w14:paraId="5A752B5C" w14:textId="77777777" w:rsidR="0022086B" w:rsidRPr="00C04C4B" w:rsidRDefault="0065443B">
            <w:pPr>
              <w:jc w:val="both"/>
              <w:rPr>
                <w:rFonts w:ascii="Garamond" w:eastAsia="Garamond" w:hAnsi="Garamond" w:cs="Garamond"/>
              </w:rPr>
            </w:pPr>
            <w:r w:rsidRPr="00C04C4B">
              <w:rPr>
                <w:rFonts w:ascii="Garamond" w:eastAsia="Garamond" w:hAnsi="Garamond" w:cs="Garamond"/>
              </w:rPr>
              <w:t>SEGMENTO</w:t>
            </w:r>
          </w:p>
        </w:tc>
        <w:tc>
          <w:tcPr>
            <w:tcW w:w="1695" w:type="dxa"/>
          </w:tcPr>
          <w:p w14:paraId="5C0D4542" w14:textId="77777777" w:rsidR="0022086B" w:rsidRPr="00C04C4B" w:rsidRDefault="0065443B">
            <w:pPr>
              <w:jc w:val="both"/>
              <w:rPr>
                <w:rFonts w:ascii="Garamond" w:eastAsia="Garamond" w:hAnsi="Garamond" w:cs="Garamond"/>
              </w:rPr>
            </w:pPr>
            <w:r w:rsidRPr="00C04C4B">
              <w:rPr>
                <w:rFonts w:ascii="Garamond" w:eastAsia="Garamond" w:hAnsi="Garamond" w:cs="Garamond"/>
              </w:rPr>
              <w:t>FAMILIA</w:t>
            </w:r>
          </w:p>
        </w:tc>
        <w:tc>
          <w:tcPr>
            <w:tcW w:w="2475" w:type="dxa"/>
          </w:tcPr>
          <w:p w14:paraId="0426D0D8" w14:textId="77777777" w:rsidR="0022086B" w:rsidRPr="00C04C4B" w:rsidRDefault="0065443B">
            <w:pPr>
              <w:jc w:val="both"/>
              <w:rPr>
                <w:rFonts w:ascii="Garamond" w:eastAsia="Garamond" w:hAnsi="Garamond" w:cs="Garamond"/>
              </w:rPr>
            </w:pPr>
            <w:r w:rsidRPr="00C04C4B">
              <w:rPr>
                <w:rFonts w:ascii="Garamond" w:eastAsia="Garamond" w:hAnsi="Garamond" w:cs="Garamond"/>
              </w:rPr>
              <w:t>CLASE</w:t>
            </w:r>
          </w:p>
        </w:tc>
        <w:tc>
          <w:tcPr>
            <w:tcW w:w="1725" w:type="dxa"/>
          </w:tcPr>
          <w:p w14:paraId="6026961B" w14:textId="77777777" w:rsidR="0022086B" w:rsidRPr="00C04C4B" w:rsidRDefault="0065443B">
            <w:pPr>
              <w:jc w:val="both"/>
              <w:rPr>
                <w:rFonts w:ascii="Garamond" w:eastAsia="Garamond" w:hAnsi="Garamond" w:cs="Garamond"/>
              </w:rPr>
            </w:pPr>
            <w:r w:rsidRPr="00C04C4B">
              <w:rPr>
                <w:rFonts w:ascii="Garamond" w:eastAsia="Garamond" w:hAnsi="Garamond" w:cs="Garamond"/>
              </w:rPr>
              <w:t>DESCRIPCIÓN</w:t>
            </w:r>
          </w:p>
        </w:tc>
      </w:tr>
      <w:tr w:rsidR="0022086B" w:rsidRPr="00C04C4B" w14:paraId="5F7ED396" w14:textId="77777777">
        <w:trPr>
          <w:trHeight w:val="1650"/>
        </w:trPr>
        <w:tc>
          <w:tcPr>
            <w:tcW w:w="1395" w:type="dxa"/>
          </w:tcPr>
          <w:p w14:paraId="57D20328" w14:textId="77777777" w:rsidR="0022086B" w:rsidRPr="00C04C4B" w:rsidRDefault="0022086B">
            <w:pPr>
              <w:jc w:val="both"/>
              <w:rPr>
                <w:rFonts w:ascii="Garamond" w:eastAsia="Garamond" w:hAnsi="Garamond" w:cs="Garamond"/>
              </w:rPr>
            </w:pPr>
          </w:p>
          <w:p w14:paraId="2ECFF54A" w14:textId="77777777" w:rsidR="0022086B" w:rsidRPr="00C04C4B" w:rsidRDefault="0022086B">
            <w:pPr>
              <w:jc w:val="both"/>
              <w:rPr>
                <w:rFonts w:ascii="Garamond" w:eastAsia="Garamond" w:hAnsi="Garamond" w:cs="Garamond"/>
              </w:rPr>
            </w:pPr>
          </w:p>
          <w:p w14:paraId="7B01F6F7" w14:textId="77777777" w:rsidR="0022086B" w:rsidRPr="00C04C4B" w:rsidRDefault="0065443B">
            <w:pPr>
              <w:jc w:val="both"/>
              <w:rPr>
                <w:rFonts w:ascii="Garamond" w:eastAsia="Garamond" w:hAnsi="Garamond" w:cs="Garamond"/>
              </w:rPr>
            </w:pPr>
            <w:r w:rsidRPr="00C04C4B">
              <w:rPr>
                <w:rFonts w:ascii="Garamond" w:eastAsia="Garamond" w:hAnsi="Garamond" w:cs="Garamond"/>
              </w:rPr>
              <w:t>F.</w:t>
            </w:r>
          </w:p>
          <w:p w14:paraId="156C4ED4" w14:textId="77777777" w:rsidR="0022086B" w:rsidRPr="00C04C4B" w:rsidRDefault="0065443B">
            <w:pPr>
              <w:jc w:val="both"/>
              <w:rPr>
                <w:rFonts w:ascii="Garamond" w:eastAsia="Garamond" w:hAnsi="Garamond" w:cs="Garamond"/>
              </w:rPr>
            </w:pPr>
            <w:r w:rsidRPr="00C04C4B">
              <w:rPr>
                <w:rFonts w:ascii="Garamond" w:eastAsia="Garamond" w:hAnsi="Garamond" w:cs="Garamond"/>
              </w:rPr>
              <w:t>servicios</w:t>
            </w:r>
          </w:p>
        </w:tc>
        <w:tc>
          <w:tcPr>
            <w:tcW w:w="2070" w:type="dxa"/>
          </w:tcPr>
          <w:p w14:paraId="7718E079" w14:textId="77777777" w:rsidR="0022086B" w:rsidRPr="00C04C4B" w:rsidRDefault="0065443B">
            <w:pPr>
              <w:jc w:val="both"/>
              <w:rPr>
                <w:rFonts w:ascii="Garamond" w:eastAsia="Garamond" w:hAnsi="Garamond" w:cs="Garamond"/>
              </w:rPr>
            </w:pPr>
            <w:r w:rsidRPr="00C04C4B">
              <w:rPr>
                <w:rFonts w:ascii="Garamond" w:eastAsia="Garamond" w:hAnsi="Garamond" w:cs="Garamond"/>
              </w:rPr>
              <w:t>80</w:t>
            </w:r>
          </w:p>
          <w:p w14:paraId="10686A69" w14:textId="77777777" w:rsidR="0022086B" w:rsidRPr="00C04C4B" w:rsidRDefault="0065443B">
            <w:pPr>
              <w:jc w:val="both"/>
              <w:rPr>
                <w:rFonts w:ascii="Garamond" w:eastAsia="Garamond" w:hAnsi="Garamond" w:cs="Garamond"/>
              </w:rPr>
            </w:pPr>
            <w:r w:rsidRPr="00C04C4B">
              <w:rPr>
                <w:rFonts w:ascii="Garamond" w:eastAsia="Garamond" w:hAnsi="Garamond" w:cs="Garamond"/>
              </w:rPr>
              <w:t>Servicios de Gestión de servicios profesionales de empresa</w:t>
            </w:r>
          </w:p>
          <w:p w14:paraId="10C6F9B7" w14:textId="77777777" w:rsidR="0022086B" w:rsidRPr="00C04C4B" w:rsidRDefault="0065443B">
            <w:pPr>
              <w:jc w:val="both"/>
              <w:rPr>
                <w:rFonts w:ascii="Garamond" w:eastAsia="Garamond" w:hAnsi="Garamond" w:cs="Garamond"/>
              </w:rPr>
            </w:pPr>
            <w:r w:rsidRPr="00C04C4B">
              <w:rPr>
                <w:rFonts w:ascii="Garamond" w:eastAsia="Garamond" w:hAnsi="Garamond" w:cs="Garamond"/>
              </w:rPr>
              <w:t>y servicios administrativos.</w:t>
            </w:r>
          </w:p>
        </w:tc>
        <w:tc>
          <w:tcPr>
            <w:tcW w:w="1695" w:type="dxa"/>
          </w:tcPr>
          <w:p w14:paraId="3C66A478" w14:textId="77777777" w:rsidR="0022086B" w:rsidRPr="00C04C4B" w:rsidRDefault="0065443B">
            <w:pPr>
              <w:jc w:val="both"/>
              <w:rPr>
                <w:rFonts w:ascii="Garamond" w:eastAsia="Garamond" w:hAnsi="Garamond" w:cs="Garamond"/>
              </w:rPr>
            </w:pPr>
            <w:r w:rsidRPr="00C04C4B">
              <w:rPr>
                <w:rFonts w:ascii="Garamond" w:eastAsia="Garamond" w:hAnsi="Garamond" w:cs="Garamond"/>
              </w:rPr>
              <w:t>10</w:t>
            </w:r>
          </w:p>
          <w:p w14:paraId="48C051E8" w14:textId="77777777" w:rsidR="0022086B" w:rsidRPr="00C04C4B" w:rsidRDefault="0065443B">
            <w:pPr>
              <w:jc w:val="both"/>
              <w:rPr>
                <w:rFonts w:ascii="Garamond" w:eastAsia="Garamond" w:hAnsi="Garamond" w:cs="Garamond"/>
              </w:rPr>
            </w:pPr>
            <w:r w:rsidRPr="00C04C4B">
              <w:rPr>
                <w:rFonts w:ascii="Garamond" w:eastAsia="Garamond" w:hAnsi="Garamond" w:cs="Garamond"/>
              </w:rPr>
              <w:t>Servicios de asesoría de Gestión</w:t>
            </w:r>
          </w:p>
        </w:tc>
        <w:tc>
          <w:tcPr>
            <w:tcW w:w="2475" w:type="dxa"/>
          </w:tcPr>
          <w:p w14:paraId="1513019B" w14:textId="77777777" w:rsidR="0022086B" w:rsidRPr="00C04C4B" w:rsidRDefault="0065443B">
            <w:pPr>
              <w:jc w:val="both"/>
              <w:rPr>
                <w:rFonts w:ascii="Garamond" w:eastAsia="Garamond" w:hAnsi="Garamond" w:cs="Garamond"/>
              </w:rPr>
            </w:pPr>
            <w:r w:rsidRPr="00C04C4B">
              <w:rPr>
                <w:rFonts w:ascii="Garamond" w:eastAsia="Garamond" w:hAnsi="Garamond" w:cs="Garamond"/>
              </w:rPr>
              <w:t>15</w:t>
            </w:r>
          </w:p>
          <w:p w14:paraId="1531665C" w14:textId="77777777" w:rsidR="0022086B" w:rsidRPr="00C04C4B" w:rsidRDefault="0065443B">
            <w:pPr>
              <w:jc w:val="both"/>
              <w:rPr>
                <w:rFonts w:ascii="Garamond" w:eastAsia="Garamond" w:hAnsi="Garamond" w:cs="Garamond"/>
              </w:rPr>
            </w:pPr>
            <w:r w:rsidRPr="00C04C4B">
              <w:rPr>
                <w:rFonts w:ascii="Garamond" w:eastAsia="Garamond" w:hAnsi="Garamond" w:cs="Garamond"/>
              </w:rPr>
              <w:t>Servicios de consultoría de negocios y administración corporativa.</w:t>
            </w:r>
          </w:p>
        </w:tc>
        <w:tc>
          <w:tcPr>
            <w:tcW w:w="1725" w:type="dxa"/>
          </w:tcPr>
          <w:p w14:paraId="2330A31A" w14:textId="77777777" w:rsidR="0022086B" w:rsidRPr="00C04C4B" w:rsidRDefault="0022086B">
            <w:pPr>
              <w:jc w:val="both"/>
              <w:rPr>
                <w:rFonts w:ascii="Garamond" w:eastAsia="Garamond" w:hAnsi="Garamond" w:cs="Garamond"/>
              </w:rPr>
            </w:pPr>
          </w:p>
          <w:p w14:paraId="1BEDE175" w14:textId="77777777" w:rsidR="0022086B" w:rsidRPr="00C04C4B" w:rsidRDefault="0022086B">
            <w:pPr>
              <w:jc w:val="both"/>
              <w:rPr>
                <w:rFonts w:ascii="Garamond" w:eastAsia="Garamond" w:hAnsi="Garamond" w:cs="Garamond"/>
              </w:rPr>
            </w:pPr>
          </w:p>
          <w:p w14:paraId="0FEF0426" w14:textId="77777777" w:rsidR="0022086B" w:rsidRPr="00C04C4B" w:rsidRDefault="0065443B">
            <w:pPr>
              <w:jc w:val="both"/>
              <w:rPr>
                <w:rFonts w:ascii="Garamond" w:eastAsia="Garamond" w:hAnsi="Garamond" w:cs="Garamond"/>
              </w:rPr>
            </w:pPr>
            <w:r w:rsidRPr="00C04C4B">
              <w:rPr>
                <w:rFonts w:ascii="Garamond" w:eastAsia="Garamond" w:hAnsi="Garamond" w:cs="Garamond"/>
              </w:rPr>
              <w:t>801015</w:t>
            </w:r>
          </w:p>
        </w:tc>
      </w:tr>
    </w:tbl>
    <w:p w14:paraId="1F87FAA9" w14:textId="77777777" w:rsidR="0022086B" w:rsidRPr="00C04C4B" w:rsidRDefault="0022086B">
      <w:pPr>
        <w:jc w:val="both"/>
        <w:rPr>
          <w:rFonts w:ascii="Garamond" w:eastAsia="Garamond" w:hAnsi="Garamond" w:cs="Garamond"/>
        </w:rPr>
      </w:pPr>
    </w:p>
    <w:tbl>
      <w:tblPr>
        <w:tblStyle w:val="afa"/>
        <w:tblW w:w="9420"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85"/>
        <w:gridCol w:w="2205"/>
        <w:gridCol w:w="1590"/>
        <w:gridCol w:w="2310"/>
        <w:gridCol w:w="1830"/>
      </w:tblGrid>
      <w:tr w:rsidR="0022086B" w:rsidRPr="00C04C4B" w14:paraId="62E421EF" w14:textId="77777777">
        <w:trPr>
          <w:trHeight w:val="1442"/>
        </w:trPr>
        <w:tc>
          <w:tcPr>
            <w:tcW w:w="1485" w:type="dxa"/>
          </w:tcPr>
          <w:p w14:paraId="3EA7DEB7" w14:textId="77777777" w:rsidR="0022086B" w:rsidRPr="00C04C4B" w:rsidRDefault="0022086B">
            <w:pPr>
              <w:jc w:val="both"/>
              <w:rPr>
                <w:rFonts w:ascii="Garamond" w:eastAsia="Garamond" w:hAnsi="Garamond" w:cs="Garamond"/>
              </w:rPr>
            </w:pPr>
          </w:p>
          <w:p w14:paraId="4917EA99" w14:textId="77777777" w:rsidR="0022086B" w:rsidRPr="00C04C4B" w:rsidRDefault="0022086B">
            <w:pPr>
              <w:jc w:val="both"/>
              <w:rPr>
                <w:rFonts w:ascii="Garamond" w:eastAsia="Garamond" w:hAnsi="Garamond" w:cs="Garamond"/>
              </w:rPr>
            </w:pPr>
          </w:p>
          <w:p w14:paraId="358FBA70" w14:textId="77777777" w:rsidR="0022086B" w:rsidRPr="00C04C4B" w:rsidRDefault="0065443B">
            <w:pPr>
              <w:jc w:val="both"/>
              <w:rPr>
                <w:rFonts w:ascii="Garamond" w:eastAsia="Garamond" w:hAnsi="Garamond" w:cs="Garamond"/>
              </w:rPr>
            </w:pPr>
            <w:r w:rsidRPr="00C04C4B">
              <w:rPr>
                <w:rFonts w:ascii="Garamond" w:eastAsia="Garamond" w:hAnsi="Garamond" w:cs="Garamond"/>
              </w:rPr>
              <w:t>F.</w:t>
            </w:r>
          </w:p>
          <w:p w14:paraId="65F01FC5" w14:textId="77777777" w:rsidR="0022086B" w:rsidRPr="00C04C4B" w:rsidRDefault="0065443B">
            <w:pPr>
              <w:jc w:val="both"/>
              <w:rPr>
                <w:rFonts w:ascii="Garamond" w:eastAsia="Garamond" w:hAnsi="Garamond" w:cs="Garamond"/>
              </w:rPr>
            </w:pPr>
            <w:r w:rsidRPr="00C04C4B">
              <w:rPr>
                <w:rFonts w:ascii="Garamond" w:eastAsia="Garamond" w:hAnsi="Garamond" w:cs="Garamond"/>
              </w:rPr>
              <w:t>servicios</w:t>
            </w:r>
          </w:p>
        </w:tc>
        <w:tc>
          <w:tcPr>
            <w:tcW w:w="2205" w:type="dxa"/>
          </w:tcPr>
          <w:p w14:paraId="47FFB48A" w14:textId="77777777" w:rsidR="0022086B" w:rsidRPr="00C04C4B" w:rsidRDefault="0065443B">
            <w:pPr>
              <w:jc w:val="both"/>
              <w:rPr>
                <w:rFonts w:ascii="Garamond" w:eastAsia="Garamond" w:hAnsi="Garamond" w:cs="Garamond"/>
              </w:rPr>
            </w:pPr>
            <w:r w:rsidRPr="00C04C4B">
              <w:rPr>
                <w:rFonts w:ascii="Garamond" w:eastAsia="Garamond" w:hAnsi="Garamond" w:cs="Garamond"/>
              </w:rPr>
              <w:t>80</w:t>
            </w:r>
          </w:p>
          <w:p w14:paraId="37BDE228" w14:textId="77777777" w:rsidR="0022086B" w:rsidRPr="00C04C4B" w:rsidRDefault="0065443B">
            <w:pPr>
              <w:jc w:val="both"/>
              <w:rPr>
                <w:rFonts w:ascii="Garamond" w:eastAsia="Garamond" w:hAnsi="Garamond" w:cs="Garamond"/>
              </w:rPr>
            </w:pPr>
            <w:r w:rsidRPr="00C04C4B">
              <w:rPr>
                <w:rFonts w:ascii="Garamond" w:eastAsia="Garamond" w:hAnsi="Garamond" w:cs="Garamond"/>
              </w:rPr>
              <w:t>Servicios de Gestión de servicios profesionales de empresa</w:t>
            </w:r>
          </w:p>
          <w:p w14:paraId="0A99F213" w14:textId="77777777" w:rsidR="0022086B" w:rsidRPr="00C04C4B" w:rsidRDefault="0065443B">
            <w:pPr>
              <w:jc w:val="both"/>
              <w:rPr>
                <w:rFonts w:ascii="Garamond" w:eastAsia="Garamond" w:hAnsi="Garamond" w:cs="Garamond"/>
              </w:rPr>
            </w:pPr>
            <w:r w:rsidRPr="00C04C4B">
              <w:rPr>
                <w:rFonts w:ascii="Garamond" w:eastAsia="Garamond" w:hAnsi="Garamond" w:cs="Garamond"/>
              </w:rPr>
              <w:t>y servicios administrativos.</w:t>
            </w:r>
          </w:p>
        </w:tc>
        <w:tc>
          <w:tcPr>
            <w:tcW w:w="1590" w:type="dxa"/>
          </w:tcPr>
          <w:p w14:paraId="4EE878B3" w14:textId="77777777" w:rsidR="0022086B" w:rsidRPr="00C04C4B" w:rsidRDefault="0065443B">
            <w:pPr>
              <w:jc w:val="both"/>
              <w:rPr>
                <w:rFonts w:ascii="Garamond" w:eastAsia="Garamond" w:hAnsi="Garamond" w:cs="Garamond"/>
              </w:rPr>
            </w:pPr>
            <w:r w:rsidRPr="00C04C4B">
              <w:rPr>
                <w:rFonts w:ascii="Garamond" w:eastAsia="Garamond" w:hAnsi="Garamond" w:cs="Garamond"/>
              </w:rPr>
              <w:t>10</w:t>
            </w:r>
          </w:p>
          <w:p w14:paraId="476B54E7" w14:textId="77777777" w:rsidR="0022086B" w:rsidRPr="00C04C4B" w:rsidRDefault="0065443B">
            <w:pPr>
              <w:jc w:val="both"/>
              <w:rPr>
                <w:rFonts w:ascii="Garamond" w:eastAsia="Garamond" w:hAnsi="Garamond" w:cs="Garamond"/>
              </w:rPr>
            </w:pPr>
            <w:r w:rsidRPr="00C04C4B">
              <w:rPr>
                <w:rFonts w:ascii="Garamond" w:eastAsia="Garamond" w:hAnsi="Garamond" w:cs="Garamond"/>
              </w:rPr>
              <w:t>Servicios de asesoría de Gestión</w:t>
            </w:r>
          </w:p>
        </w:tc>
        <w:tc>
          <w:tcPr>
            <w:tcW w:w="2310" w:type="dxa"/>
          </w:tcPr>
          <w:p w14:paraId="7BA4EEA4" w14:textId="77777777" w:rsidR="0022086B" w:rsidRPr="00C04C4B" w:rsidRDefault="0065443B">
            <w:pPr>
              <w:jc w:val="both"/>
              <w:rPr>
                <w:rFonts w:ascii="Garamond" w:eastAsia="Garamond" w:hAnsi="Garamond" w:cs="Garamond"/>
              </w:rPr>
            </w:pPr>
            <w:r w:rsidRPr="00C04C4B">
              <w:rPr>
                <w:rFonts w:ascii="Garamond" w:eastAsia="Garamond" w:hAnsi="Garamond" w:cs="Garamond"/>
              </w:rPr>
              <w:t>16</w:t>
            </w:r>
          </w:p>
          <w:p w14:paraId="016409C9" w14:textId="77777777" w:rsidR="0022086B" w:rsidRPr="00C04C4B" w:rsidRDefault="0065443B">
            <w:pPr>
              <w:jc w:val="both"/>
              <w:rPr>
                <w:rFonts w:ascii="Garamond" w:eastAsia="Garamond" w:hAnsi="Garamond" w:cs="Garamond"/>
              </w:rPr>
            </w:pPr>
            <w:r w:rsidRPr="00C04C4B">
              <w:rPr>
                <w:rFonts w:ascii="Garamond" w:eastAsia="Garamond" w:hAnsi="Garamond" w:cs="Garamond"/>
              </w:rPr>
              <w:t>Gerencia de Proyectos</w:t>
            </w:r>
          </w:p>
        </w:tc>
        <w:tc>
          <w:tcPr>
            <w:tcW w:w="1830" w:type="dxa"/>
          </w:tcPr>
          <w:p w14:paraId="75D80F66" w14:textId="77777777" w:rsidR="0022086B" w:rsidRPr="00C04C4B" w:rsidRDefault="0022086B">
            <w:pPr>
              <w:jc w:val="both"/>
              <w:rPr>
                <w:rFonts w:ascii="Garamond" w:eastAsia="Garamond" w:hAnsi="Garamond" w:cs="Garamond"/>
              </w:rPr>
            </w:pPr>
          </w:p>
          <w:p w14:paraId="7CD3C2C6" w14:textId="77777777" w:rsidR="0022086B" w:rsidRPr="00C04C4B" w:rsidRDefault="0065443B">
            <w:pPr>
              <w:jc w:val="both"/>
              <w:rPr>
                <w:rFonts w:ascii="Garamond" w:eastAsia="Garamond" w:hAnsi="Garamond" w:cs="Garamond"/>
              </w:rPr>
            </w:pPr>
            <w:r w:rsidRPr="00C04C4B">
              <w:rPr>
                <w:rFonts w:ascii="Garamond" w:eastAsia="Garamond" w:hAnsi="Garamond" w:cs="Garamond"/>
              </w:rPr>
              <w:t>801016</w:t>
            </w:r>
          </w:p>
        </w:tc>
      </w:tr>
      <w:tr w:rsidR="0022086B" w:rsidRPr="00C04C4B" w14:paraId="3B2ED438" w14:textId="77777777">
        <w:trPr>
          <w:trHeight w:val="1212"/>
        </w:trPr>
        <w:tc>
          <w:tcPr>
            <w:tcW w:w="1485" w:type="dxa"/>
          </w:tcPr>
          <w:p w14:paraId="64F6BF57" w14:textId="77777777" w:rsidR="0022086B" w:rsidRPr="00C04C4B" w:rsidRDefault="0022086B">
            <w:pPr>
              <w:jc w:val="both"/>
              <w:rPr>
                <w:rFonts w:ascii="Garamond" w:eastAsia="Garamond" w:hAnsi="Garamond" w:cs="Garamond"/>
              </w:rPr>
            </w:pPr>
          </w:p>
          <w:p w14:paraId="69174D8F" w14:textId="77777777" w:rsidR="0022086B" w:rsidRPr="00C04C4B" w:rsidRDefault="0022086B">
            <w:pPr>
              <w:jc w:val="both"/>
              <w:rPr>
                <w:rFonts w:ascii="Garamond" w:eastAsia="Garamond" w:hAnsi="Garamond" w:cs="Garamond"/>
              </w:rPr>
            </w:pPr>
          </w:p>
          <w:p w14:paraId="3E0768CD" w14:textId="77777777" w:rsidR="0022086B" w:rsidRPr="00C04C4B" w:rsidRDefault="0065443B">
            <w:pPr>
              <w:jc w:val="both"/>
              <w:rPr>
                <w:rFonts w:ascii="Garamond" w:eastAsia="Garamond" w:hAnsi="Garamond" w:cs="Garamond"/>
              </w:rPr>
            </w:pPr>
            <w:r w:rsidRPr="00C04C4B">
              <w:rPr>
                <w:rFonts w:ascii="Garamond" w:eastAsia="Garamond" w:hAnsi="Garamond" w:cs="Garamond"/>
              </w:rPr>
              <w:t>F.</w:t>
            </w:r>
          </w:p>
          <w:p w14:paraId="3D4C51FF" w14:textId="77777777" w:rsidR="0022086B" w:rsidRPr="00C04C4B" w:rsidRDefault="0065443B">
            <w:pPr>
              <w:jc w:val="both"/>
              <w:rPr>
                <w:rFonts w:ascii="Garamond" w:eastAsia="Garamond" w:hAnsi="Garamond" w:cs="Garamond"/>
              </w:rPr>
            </w:pPr>
            <w:r w:rsidRPr="00C04C4B">
              <w:rPr>
                <w:rFonts w:ascii="Garamond" w:eastAsia="Garamond" w:hAnsi="Garamond" w:cs="Garamond"/>
              </w:rPr>
              <w:t>servicios</w:t>
            </w:r>
          </w:p>
        </w:tc>
        <w:tc>
          <w:tcPr>
            <w:tcW w:w="2205" w:type="dxa"/>
          </w:tcPr>
          <w:p w14:paraId="33F26F17" w14:textId="77777777" w:rsidR="0022086B" w:rsidRPr="00C04C4B" w:rsidRDefault="0065443B">
            <w:pPr>
              <w:jc w:val="both"/>
              <w:rPr>
                <w:rFonts w:ascii="Garamond" w:eastAsia="Garamond" w:hAnsi="Garamond" w:cs="Garamond"/>
              </w:rPr>
            </w:pPr>
            <w:r w:rsidRPr="00C04C4B">
              <w:rPr>
                <w:rFonts w:ascii="Garamond" w:eastAsia="Garamond" w:hAnsi="Garamond" w:cs="Garamond"/>
              </w:rPr>
              <w:t>81</w:t>
            </w:r>
          </w:p>
          <w:p w14:paraId="769C9BD2" w14:textId="77777777" w:rsidR="0022086B" w:rsidRPr="00C04C4B" w:rsidRDefault="0065443B">
            <w:pPr>
              <w:jc w:val="both"/>
              <w:rPr>
                <w:rFonts w:ascii="Garamond" w:eastAsia="Garamond" w:hAnsi="Garamond" w:cs="Garamond"/>
              </w:rPr>
            </w:pPr>
            <w:r w:rsidRPr="00C04C4B">
              <w:rPr>
                <w:rFonts w:ascii="Garamond" w:eastAsia="Garamond" w:hAnsi="Garamond" w:cs="Garamond"/>
              </w:rPr>
              <w:t xml:space="preserve">Servicios basados en Ingeniería, investigación y </w:t>
            </w:r>
            <w:proofErr w:type="spellStart"/>
            <w:r w:rsidRPr="00C04C4B">
              <w:rPr>
                <w:rFonts w:ascii="Garamond" w:eastAsia="Garamond" w:hAnsi="Garamond" w:cs="Garamond"/>
              </w:rPr>
              <w:t>Tecnolo</w:t>
            </w:r>
            <w:proofErr w:type="spellEnd"/>
            <w:r w:rsidRPr="00C04C4B">
              <w:rPr>
                <w:rFonts w:ascii="Garamond" w:eastAsia="Garamond" w:hAnsi="Garamond" w:cs="Garamond"/>
              </w:rPr>
              <w:t>-</w:t>
            </w:r>
          </w:p>
          <w:p w14:paraId="7112B8A7" w14:textId="77777777" w:rsidR="0022086B" w:rsidRPr="00C04C4B" w:rsidRDefault="0065443B">
            <w:pPr>
              <w:jc w:val="both"/>
              <w:rPr>
                <w:rFonts w:ascii="Garamond" w:eastAsia="Garamond" w:hAnsi="Garamond" w:cs="Garamond"/>
              </w:rPr>
            </w:pPr>
            <w:proofErr w:type="spellStart"/>
            <w:r w:rsidRPr="00C04C4B">
              <w:rPr>
                <w:rFonts w:ascii="Garamond" w:eastAsia="Garamond" w:hAnsi="Garamond" w:cs="Garamond"/>
              </w:rPr>
              <w:t>gía</w:t>
            </w:r>
            <w:proofErr w:type="spellEnd"/>
            <w:r w:rsidRPr="00C04C4B">
              <w:rPr>
                <w:rFonts w:ascii="Garamond" w:eastAsia="Garamond" w:hAnsi="Garamond" w:cs="Garamond"/>
              </w:rPr>
              <w:t>.</w:t>
            </w:r>
          </w:p>
        </w:tc>
        <w:tc>
          <w:tcPr>
            <w:tcW w:w="1590" w:type="dxa"/>
          </w:tcPr>
          <w:p w14:paraId="7642D820" w14:textId="77777777" w:rsidR="0022086B" w:rsidRPr="00C04C4B" w:rsidRDefault="0065443B">
            <w:pPr>
              <w:jc w:val="both"/>
              <w:rPr>
                <w:rFonts w:ascii="Garamond" w:eastAsia="Garamond" w:hAnsi="Garamond" w:cs="Garamond"/>
              </w:rPr>
            </w:pPr>
            <w:r w:rsidRPr="00C04C4B">
              <w:rPr>
                <w:rFonts w:ascii="Garamond" w:eastAsia="Garamond" w:hAnsi="Garamond" w:cs="Garamond"/>
              </w:rPr>
              <w:t>10</w:t>
            </w:r>
          </w:p>
          <w:p w14:paraId="7D6A2E65" w14:textId="77777777" w:rsidR="0022086B" w:rsidRPr="00C04C4B" w:rsidRDefault="0065443B">
            <w:pPr>
              <w:jc w:val="both"/>
              <w:rPr>
                <w:rFonts w:ascii="Garamond" w:eastAsia="Garamond" w:hAnsi="Garamond" w:cs="Garamond"/>
              </w:rPr>
            </w:pPr>
            <w:r w:rsidRPr="00C04C4B">
              <w:rPr>
                <w:rFonts w:ascii="Garamond" w:eastAsia="Garamond" w:hAnsi="Garamond" w:cs="Garamond"/>
              </w:rPr>
              <w:t>Servicios de profesionales de</w:t>
            </w:r>
          </w:p>
          <w:p w14:paraId="6D82D2BF" w14:textId="77777777" w:rsidR="0022086B" w:rsidRPr="00C04C4B" w:rsidRDefault="0065443B">
            <w:pPr>
              <w:jc w:val="both"/>
              <w:rPr>
                <w:rFonts w:ascii="Garamond" w:eastAsia="Garamond" w:hAnsi="Garamond" w:cs="Garamond"/>
              </w:rPr>
            </w:pPr>
            <w:r w:rsidRPr="00C04C4B">
              <w:rPr>
                <w:rFonts w:ascii="Garamond" w:eastAsia="Garamond" w:hAnsi="Garamond" w:cs="Garamond"/>
              </w:rPr>
              <w:t>ingeniería.</w:t>
            </w:r>
          </w:p>
        </w:tc>
        <w:tc>
          <w:tcPr>
            <w:tcW w:w="2310" w:type="dxa"/>
          </w:tcPr>
          <w:p w14:paraId="4EDBE58B" w14:textId="77777777" w:rsidR="0022086B" w:rsidRPr="00C04C4B" w:rsidRDefault="0065443B">
            <w:pPr>
              <w:jc w:val="both"/>
              <w:rPr>
                <w:rFonts w:ascii="Garamond" w:eastAsia="Garamond" w:hAnsi="Garamond" w:cs="Garamond"/>
              </w:rPr>
            </w:pPr>
            <w:r w:rsidRPr="00C04C4B">
              <w:rPr>
                <w:rFonts w:ascii="Garamond" w:eastAsia="Garamond" w:hAnsi="Garamond" w:cs="Garamond"/>
              </w:rPr>
              <w:t>15</w:t>
            </w:r>
          </w:p>
          <w:p w14:paraId="6501DE95" w14:textId="77777777" w:rsidR="0022086B" w:rsidRPr="00C04C4B" w:rsidRDefault="0065443B">
            <w:pPr>
              <w:jc w:val="both"/>
              <w:rPr>
                <w:rFonts w:ascii="Garamond" w:eastAsia="Garamond" w:hAnsi="Garamond" w:cs="Garamond"/>
              </w:rPr>
            </w:pPr>
            <w:r w:rsidRPr="00C04C4B">
              <w:rPr>
                <w:rFonts w:ascii="Garamond" w:eastAsia="Garamond" w:hAnsi="Garamond" w:cs="Garamond"/>
              </w:rPr>
              <w:t>Ingeniería civil.</w:t>
            </w:r>
          </w:p>
        </w:tc>
        <w:tc>
          <w:tcPr>
            <w:tcW w:w="1830" w:type="dxa"/>
          </w:tcPr>
          <w:p w14:paraId="13C4F936" w14:textId="77777777" w:rsidR="0022086B" w:rsidRPr="00C04C4B" w:rsidRDefault="0022086B">
            <w:pPr>
              <w:jc w:val="both"/>
              <w:rPr>
                <w:rFonts w:ascii="Garamond" w:eastAsia="Garamond" w:hAnsi="Garamond" w:cs="Garamond"/>
              </w:rPr>
            </w:pPr>
          </w:p>
          <w:p w14:paraId="0699427F" w14:textId="77777777" w:rsidR="0022086B" w:rsidRPr="00C04C4B" w:rsidRDefault="0022086B">
            <w:pPr>
              <w:jc w:val="both"/>
              <w:rPr>
                <w:rFonts w:ascii="Garamond" w:eastAsia="Garamond" w:hAnsi="Garamond" w:cs="Garamond"/>
              </w:rPr>
            </w:pPr>
          </w:p>
          <w:p w14:paraId="4098A641" w14:textId="77777777" w:rsidR="0022086B" w:rsidRPr="00C04C4B" w:rsidRDefault="0065443B">
            <w:pPr>
              <w:jc w:val="both"/>
              <w:rPr>
                <w:rFonts w:ascii="Garamond" w:eastAsia="Garamond" w:hAnsi="Garamond" w:cs="Garamond"/>
              </w:rPr>
            </w:pPr>
            <w:r w:rsidRPr="00C04C4B">
              <w:rPr>
                <w:rFonts w:ascii="Garamond" w:eastAsia="Garamond" w:hAnsi="Garamond" w:cs="Garamond"/>
              </w:rPr>
              <w:t>811015</w:t>
            </w:r>
          </w:p>
        </w:tc>
      </w:tr>
    </w:tbl>
    <w:p w14:paraId="0E904290" w14:textId="77777777" w:rsidR="0022086B" w:rsidRPr="00C04C4B" w:rsidRDefault="0022086B">
      <w:pPr>
        <w:jc w:val="both"/>
        <w:rPr>
          <w:rFonts w:ascii="Garamond" w:eastAsia="Garamond" w:hAnsi="Garamond" w:cs="Garamond"/>
        </w:rPr>
      </w:pPr>
    </w:p>
    <w:p w14:paraId="4F563619" w14:textId="77777777" w:rsidR="0022086B" w:rsidRPr="00C04C4B" w:rsidRDefault="0065443B">
      <w:pPr>
        <w:jc w:val="both"/>
        <w:rPr>
          <w:rFonts w:ascii="Garamond" w:eastAsia="Garamond" w:hAnsi="Garamond" w:cs="Garamond"/>
        </w:rPr>
      </w:pPr>
      <w:r w:rsidRPr="00C04C4B">
        <w:rPr>
          <w:rFonts w:ascii="Garamond" w:eastAsia="Garamond" w:hAnsi="Garamond" w:cs="Garamond"/>
        </w:rPr>
        <w:t xml:space="preserve">Adicionalmente, es importante señalar </w:t>
      </w:r>
      <w:proofErr w:type="gramStart"/>
      <w:r w:rsidRPr="00C04C4B">
        <w:rPr>
          <w:rFonts w:ascii="Garamond" w:eastAsia="Garamond" w:hAnsi="Garamond" w:cs="Garamond"/>
        </w:rPr>
        <w:t>que</w:t>
      </w:r>
      <w:proofErr w:type="gramEnd"/>
      <w:r w:rsidRPr="00C04C4B">
        <w:rPr>
          <w:rFonts w:ascii="Garamond" w:eastAsia="Garamond" w:hAnsi="Garamond" w:cs="Garamond"/>
        </w:rPr>
        <w:t xml:space="preserve"> una vez consultada la página de Colombia Compra Eficiente, en la tienda virtual, </w:t>
      </w:r>
      <w:hyperlink r:id="rId18">
        <w:r w:rsidRPr="00C04C4B">
          <w:rPr>
            <w:rFonts w:ascii="Garamond" w:eastAsia="Garamond" w:hAnsi="Garamond" w:cs="Garamond"/>
            <w:color w:val="0000FF"/>
            <w:u w:val="single"/>
          </w:rPr>
          <w:t>http://www.colombiacompra.gov.co/lista-de-acuerdos-marco,</w:t>
        </w:r>
      </w:hyperlink>
      <w:r w:rsidRPr="00C04C4B">
        <w:rPr>
          <w:rFonts w:ascii="Garamond" w:eastAsia="Garamond" w:hAnsi="Garamond" w:cs="Garamond"/>
        </w:rPr>
        <w:t xml:space="preserve"> se verifica que no existe un Acuerdo Marco de Precio vigente relacionado con el objeto de la presente contratación.</w:t>
      </w:r>
    </w:p>
    <w:p w14:paraId="3966483B" w14:textId="77777777" w:rsidR="0022086B" w:rsidRPr="00C04C4B" w:rsidRDefault="0022086B">
      <w:pPr>
        <w:jc w:val="both"/>
        <w:rPr>
          <w:rFonts w:ascii="Garamond" w:eastAsia="Garamond" w:hAnsi="Garamond" w:cs="Garamond"/>
        </w:rPr>
      </w:pPr>
    </w:p>
    <w:p w14:paraId="23EDCF89" w14:textId="77777777" w:rsidR="0022086B" w:rsidRPr="00C04C4B" w:rsidRDefault="0065443B">
      <w:pPr>
        <w:jc w:val="both"/>
        <w:rPr>
          <w:rFonts w:ascii="Garamond" w:eastAsia="Garamond" w:hAnsi="Garamond" w:cs="Garamond"/>
          <w:b/>
        </w:rPr>
      </w:pPr>
      <w:r w:rsidRPr="00C04C4B">
        <w:rPr>
          <w:rFonts w:ascii="Garamond" w:eastAsia="Garamond" w:hAnsi="Garamond" w:cs="Garamond"/>
          <w:b/>
        </w:rPr>
        <w:lastRenderedPageBreak/>
        <w:t>2.3. ESPECIFICACIONES TÉCNICAS</w:t>
      </w:r>
    </w:p>
    <w:p w14:paraId="753F74E9" w14:textId="77777777" w:rsidR="0022086B" w:rsidRPr="00C04C4B" w:rsidRDefault="0022086B">
      <w:pPr>
        <w:jc w:val="both"/>
        <w:rPr>
          <w:rFonts w:ascii="Garamond" w:eastAsia="Garamond" w:hAnsi="Garamond" w:cs="Garamond"/>
        </w:rPr>
      </w:pPr>
    </w:p>
    <w:p w14:paraId="0DB3C672" w14:textId="77777777" w:rsidR="00FB5B9F" w:rsidRPr="00C04C4B" w:rsidRDefault="00FB5B9F" w:rsidP="00FB5B9F">
      <w:pPr>
        <w:jc w:val="both"/>
        <w:rPr>
          <w:rFonts w:ascii="Garamond" w:eastAsia="Garamond" w:hAnsi="Garamond" w:cs="Garamond"/>
        </w:rPr>
      </w:pPr>
      <w:r w:rsidRPr="00C04C4B">
        <w:rPr>
          <w:rFonts w:ascii="Garamond" w:eastAsia="Garamond" w:hAnsi="Garamond" w:cs="Garamond"/>
        </w:rPr>
        <w:t>Como complemento al presente numeral, se deberá atender integralmente lo establecido en el Anexo Técnico, el cual hace parte integral del presente estudio previo y contiene el detalle de las actividades, alcances, especificaciones y condiciones de ejecución del contrato de obra.</w:t>
      </w:r>
    </w:p>
    <w:p w14:paraId="44D0BA30" w14:textId="77777777" w:rsidR="00FB5B9F" w:rsidRPr="00C04C4B" w:rsidRDefault="00FB5B9F" w:rsidP="00FB5B9F">
      <w:pPr>
        <w:jc w:val="both"/>
        <w:rPr>
          <w:rFonts w:ascii="Garamond" w:eastAsia="Garamond" w:hAnsi="Garamond" w:cs="Garamond"/>
        </w:rPr>
      </w:pPr>
    </w:p>
    <w:p w14:paraId="168394D0" w14:textId="77777777" w:rsidR="00FB5B9F" w:rsidRPr="00C04C4B" w:rsidRDefault="00FB5B9F" w:rsidP="00FB5B9F">
      <w:pPr>
        <w:jc w:val="both"/>
        <w:rPr>
          <w:rFonts w:ascii="Garamond" w:eastAsia="Garamond" w:hAnsi="Garamond" w:cs="Garamond"/>
        </w:rPr>
      </w:pPr>
      <w:r w:rsidRPr="00C04C4B">
        <w:rPr>
          <w:rFonts w:ascii="Garamond" w:eastAsia="Garamond" w:hAnsi="Garamond" w:cs="Garamond"/>
        </w:rPr>
        <w:t>La interventoría será responsable de verificar que la ejecución del contrato se desarrolle conforme a las especificaciones técnicas, estudios y diseños aprobados, así como a las disposiciones contenidas en el pliego de condiciones, sus anexos y demás documentos que integran el proceso contractual.</w:t>
      </w:r>
    </w:p>
    <w:p w14:paraId="50F0AD14" w14:textId="77777777" w:rsidR="00FB5B9F" w:rsidRPr="00C04C4B" w:rsidRDefault="00FB5B9F" w:rsidP="00FB5B9F">
      <w:pPr>
        <w:jc w:val="both"/>
        <w:rPr>
          <w:rFonts w:ascii="Garamond" w:eastAsia="Garamond" w:hAnsi="Garamond" w:cs="Garamond"/>
        </w:rPr>
      </w:pPr>
    </w:p>
    <w:p w14:paraId="3C2CB6FA" w14:textId="77777777" w:rsidR="00FB5B9F" w:rsidRPr="00C04C4B" w:rsidRDefault="00FB5B9F" w:rsidP="00FB5B9F">
      <w:pPr>
        <w:jc w:val="both"/>
        <w:rPr>
          <w:rFonts w:ascii="Garamond" w:eastAsia="Garamond" w:hAnsi="Garamond" w:cs="Garamond"/>
        </w:rPr>
      </w:pPr>
      <w:r w:rsidRPr="00C04C4B">
        <w:rPr>
          <w:rFonts w:ascii="Garamond" w:eastAsia="Garamond" w:hAnsi="Garamond" w:cs="Garamond"/>
        </w:rPr>
        <w:t>En desarrollo de sus funciones, la interventoría deberá ejercer control técnico permanente sobre las actividades constructivas, garantizando el cumplimiento de los estándares definidos por las entidades competentes del Distrito, en particular los lineamientos establecidos por el Instituto Distrital de Recreación y Deporte (</w:t>
      </w:r>
      <w:proofErr w:type="spellStart"/>
      <w:r w:rsidRPr="00C04C4B">
        <w:rPr>
          <w:rFonts w:ascii="Garamond" w:eastAsia="Garamond" w:hAnsi="Garamond" w:cs="Garamond"/>
        </w:rPr>
        <w:t>IDRD</w:t>
      </w:r>
      <w:proofErr w:type="spellEnd"/>
      <w:r w:rsidRPr="00C04C4B">
        <w:rPr>
          <w:rFonts w:ascii="Garamond" w:eastAsia="Garamond" w:hAnsi="Garamond" w:cs="Garamond"/>
        </w:rPr>
        <w:t>) en materia de diseño, construcción y dotación de infraestructura recreativa.</w:t>
      </w:r>
    </w:p>
    <w:p w14:paraId="1A745F14" w14:textId="77777777" w:rsidR="00FB5B9F" w:rsidRPr="00C04C4B" w:rsidRDefault="00FB5B9F" w:rsidP="00FB5B9F">
      <w:pPr>
        <w:jc w:val="both"/>
        <w:rPr>
          <w:rFonts w:ascii="Garamond" w:eastAsia="Garamond" w:hAnsi="Garamond" w:cs="Garamond"/>
        </w:rPr>
      </w:pPr>
    </w:p>
    <w:p w14:paraId="7D7035F6" w14:textId="77777777" w:rsidR="00FB5B9F" w:rsidRPr="00C04C4B" w:rsidRDefault="00FB5B9F" w:rsidP="00FB5B9F">
      <w:pPr>
        <w:jc w:val="both"/>
        <w:rPr>
          <w:rFonts w:ascii="Garamond" w:eastAsia="Garamond" w:hAnsi="Garamond" w:cs="Garamond"/>
        </w:rPr>
      </w:pPr>
      <w:r w:rsidRPr="00C04C4B">
        <w:rPr>
          <w:rFonts w:ascii="Garamond" w:eastAsia="Garamond" w:hAnsi="Garamond" w:cs="Garamond"/>
        </w:rPr>
        <w:t xml:space="preserve">En este sentido, deberá verificar la correcta aplicación de la Cartilla de Lineamientos para el Diseño de Parques del </w:t>
      </w:r>
      <w:proofErr w:type="spellStart"/>
      <w:r w:rsidRPr="00C04C4B">
        <w:rPr>
          <w:rFonts w:ascii="Garamond" w:eastAsia="Garamond" w:hAnsi="Garamond" w:cs="Garamond"/>
        </w:rPr>
        <w:t>IDRD</w:t>
      </w:r>
      <w:proofErr w:type="spellEnd"/>
      <w:r w:rsidRPr="00C04C4B">
        <w:rPr>
          <w:rFonts w:ascii="Garamond" w:eastAsia="Garamond" w:hAnsi="Garamond" w:cs="Garamond"/>
        </w:rPr>
        <w:t>, como documento orientador de los criterios arquitectónicos, urbanísticos y funcionales aplicables al proyecto, asegurando que la infraestructura desarrollada responda a las condiciones de uso, accesibilidad y seguridad requeridas.</w:t>
      </w:r>
    </w:p>
    <w:p w14:paraId="54D32B4E" w14:textId="77777777" w:rsidR="00FB5B9F" w:rsidRPr="00C04C4B" w:rsidRDefault="00FB5B9F" w:rsidP="00FB5B9F">
      <w:pPr>
        <w:jc w:val="both"/>
        <w:rPr>
          <w:rFonts w:ascii="Garamond" w:eastAsia="Garamond" w:hAnsi="Garamond" w:cs="Garamond"/>
        </w:rPr>
      </w:pPr>
    </w:p>
    <w:p w14:paraId="443142CD" w14:textId="77777777" w:rsidR="00FB5B9F" w:rsidRPr="00C04C4B" w:rsidRDefault="00FB5B9F" w:rsidP="00FB5B9F">
      <w:pPr>
        <w:jc w:val="both"/>
        <w:rPr>
          <w:rFonts w:ascii="Garamond" w:eastAsia="Garamond" w:hAnsi="Garamond" w:cs="Garamond"/>
        </w:rPr>
      </w:pPr>
      <w:r w:rsidRPr="00C04C4B">
        <w:rPr>
          <w:rFonts w:ascii="Garamond" w:eastAsia="Garamond" w:hAnsi="Garamond" w:cs="Garamond"/>
        </w:rPr>
        <w:t>Así mismo, la interventoría deberá asegurar el cumplimiento de la normativa ambiental vigente, en especial lo dispuesto en la Resolución 1115 de 2012 expedida por la Secretaría Distrital de Ambiente, relacionada con la gestión de residuos de construcción y demolición, así como los lineamientos establecidos en la Guía de Contratación Sostenible y demás instrumentos de gestión ambiental aplicables.</w:t>
      </w:r>
    </w:p>
    <w:p w14:paraId="30DC88CB" w14:textId="77777777" w:rsidR="00FB5B9F" w:rsidRPr="00C04C4B" w:rsidRDefault="00FB5B9F" w:rsidP="00FB5B9F">
      <w:pPr>
        <w:jc w:val="both"/>
        <w:rPr>
          <w:rFonts w:ascii="Garamond" w:eastAsia="Garamond" w:hAnsi="Garamond" w:cs="Garamond"/>
        </w:rPr>
      </w:pPr>
    </w:p>
    <w:p w14:paraId="177890D1" w14:textId="77777777" w:rsidR="00FB5B9F" w:rsidRPr="00C04C4B" w:rsidRDefault="00FB5B9F" w:rsidP="00FB5B9F">
      <w:pPr>
        <w:jc w:val="both"/>
        <w:rPr>
          <w:rFonts w:ascii="Garamond" w:eastAsia="Garamond" w:hAnsi="Garamond" w:cs="Garamond"/>
        </w:rPr>
      </w:pPr>
      <w:r w:rsidRPr="00C04C4B">
        <w:rPr>
          <w:rFonts w:ascii="Garamond" w:eastAsia="Garamond" w:hAnsi="Garamond" w:cs="Garamond"/>
        </w:rPr>
        <w:t>De igual manera, deberá verificar la incorporación de criterios ambientales definidos en las fichas de contratación sostenible adoptadas por el Distrito y por el Ministerio de Ambiente y Desarrollo Sostenible, garantizando que la ejecución del proyecto se realice bajo parámetros de sostenibilidad.</w:t>
      </w:r>
    </w:p>
    <w:p w14:paraId="075856D4" w14:textId="77777777" w:rsidR="00FB5B9F" w:rsidRPr="00C04C4B" w:rsidRDefault="00FB5B9F" w:rsidP="00FB5B9F">
      <w:pPr>
        <w:jc w:val="both"/>
        <w:rPr>
          <w:rFonts w:ascii="Garamond" w:eastAsia="Garamond" w:hAnsi="Garamond" w:cs="Garamond"/>
        </w:rPr>
      </w:pPr>
    </w:p>
    <w:p w14:paraId="6307BFA1" w14:textId="77777777" w:rsidR="00FB5B9F" w:rsidRPr="00C04C4B" w:rsidRDefault="00FB5B9F" w:rsidP="00FB5B9F">
      <w:pPr>
        <w:jc w:val="both"/>
        <w:rPr>
          <w:rFonts w:ascii="Garamond" w:eastAsia="Garamond" w:hAnsi="Garamond" w:cs="Garamond"/>
        </w:rPr>
      </w:pPr>
      <w:r w:rsidRPr="00C04C4B">
        <w:rPr>
          <w:rFonts w:ascii="Garamond" w:eastAsia="Garamond" w:hAnsi="Garamond" w:cs="Garamond"/>
        </w:rPr>
        <w:t>La interventoría deberá también realizar seguimiento al cumplimiento de todos los permisos, autorizaciones y licencias requeridas para la ejecución del contrato, verificando que el contratista gestione oportunamente los trámites ante las entidades competentes del orden distrital y nacional, tales como autoridades ambientales, entidades de planeación, empresas de servicios públicos y demás organismos involucrados en el desarrollo del proyecto.</w:t>
      </w:r>
    </w:p>
    <w:p w14:paraId="3B4F81AB" w14:textId="77777777" w:rsidR="00FB5B9F" w:rsidRPr="00C04C4B" w:rsidRDefault="00FB5B9F" w:rsidP="00FB5B9F">
      <w:pPr>
        <w:jc w:val="both"/>
        <w:rPr>
          <w:rFonts w:ascii="Garamond" w:eastAsia="Garamond" w:hAnsi="Garamond" w:cs="Garamond"/>
        </w:rPr>
      </w:pPr>
    </w:p>
    <w:p w14:paraId="742E5276" w14:textId="77777777" w:rsidR="00FB5B9F" w:rsidRPr="00C04C4B" w:rsidRDefault="00FB5B9F" w:rsidP="00FB5B9F">
      <w:pPr>
        <w:jc w:val="both"/>
        <w:rPr>
          <w:rFonts w:ascii="Garamond" w:eastAsia="Garamond" w:hAnsi="Garamond" w:cs="Garamond"/>
        </w:rPr>
      </w:pPr>
      <w:r w:rsidRPr="00C04C4B">
        <w:rPr>
          <w:rFonts w:ascii="Garamond" w:eastAsia="Garamond" w:hAnsi="Garamond" w:cs="Garamond"/>
        </w:rPr>
        <w:t>En este marco, deberá controlar la adecuada interacción del contratista con entidades como la Secretaría Distrital de Ambiente, la Empresa de Acueducto y Alcantarillado de Bogotá, empresas de energía, telecomunicaciones y demás actores institucionales que puedan tener incidencia en la ejecución del proyecto.</w:t>
      </w:r>
    </w:p>
    <w:p w14:paraId="301E74CD" w14:textId="77777777" w:rsidR="00FB5B9F" w:rsidRPr="00C04C4B" w:rsidRDefault="00FB5B9F" w:rsidP="00FB5B9F">
      <w:pPr>
        <w:jc w:val="both"/>
        <w:rPr>
          <w:rFonts w:ascii="Garamond" w:eastAsia="Garamond" w:hAnsi="Garamond" w:cs="Garamond"/>
        </w:rPr>
      </w:pPr>
    </w:p>
    <w:p w14:paraId="1B73A0BC" w14:textId="77777777" w:rsidR="00FB5B9F" w:rsidRPr="00C04C4B" w:rsidRDefault="00FB5B9F" w:rsidP="00FB5B9F">
      <w:pPr>
        <w:jc w:val="both"/>
        <w:rPr>
          <w:rFonts w:ascii="Garamond" w:eastAsia="Garamond" w:hAnsi="Garamond" w:cs="Garamond"/>
        </w:rPr>
      </w:pPr>
      <w:r w:rsidRPr="00C04C4B">
        <w:rPr>
          <w:rFonts w:ascii="Garamond" w:eastAsia="Garamond" w:hAnsi="Garamond" w:cs="Garamond"/>
        </w:rPr>
        <w:t xml:space="preserve">Así mismo, la interventoría deberá verificar el cumplimiento de los lineamientos técnicos establecidos en los manuales y especificaciones aplicables, tales como el Manual de Especificaciones Técnicas del </w:t>
      </w:r>
      <w:proofErr w:type="spellStart"/>
      <w:r w:rsidRPr="00C04C4B">
        <w:rPr>
          <w:rFonts w:ascii="Garamond" w:eastAsia="Garamond" w:hAnsi="Garamond" w:cs="Garamond"/>
        </w:rPr>
        <w:t>IDRD</w:t>
      </w:r>
      <w:proofErr w:type="spellEnd"/>
      <w:r w:rsidRPr="00C04C4B">
        <w:rPr>
          <w:rFonts w:ascii="Garamond" w:eastAsia="Garamond" w:hAnsi="Garamond" w:cs="Garamond"/>
        </w:rPr>
        <w:t xml:space="preserve">, en lo </w:t>
      </w:r>
      <w:r w:rsidRPr="00C04C4B">
        <w:rPr>
          <w:rFonts w:ascii="Garamond" w:eastAsia="Garamond" w:hAnsi="Garamond" w:cs="Garamond"/>
        </w:rPr>
        <w:lastRenderedPageBreak/>
        <w:t>relacionado con materiales, sistemas constructivos, mobiliario urbano y demás componentes de la infraestructura.</w:t>
      </w:r>
    </w:p>
    <w:p w14:paraId="3DEA11FB" w14:textId="77777777" w:rsidR="00FB5B9F" w:rsidRPr="00C04C4B" w:rsidRDefault="00FB5B9F" w:rsidP="00FB5B9F">
      <w:pPr>
        <w:jc w:val="both"/>
        <w:rPr>
          <w:rFonts w:ascii="Garamond" w:eastAsia="Garamond" w:hAnsi="Garamond" w:cs="Garamond"/>
        </w:rPr>
      </w:pPr>
    </w:p>
    <w:p w14:paraId="57C0A12D" w14:textId="77777777" w:rsidR="00FB5B9F" w:rsidRPr="00C04C4B" w:rsidRDefault="00FB5B9F" w:rsidP="00FB5B9F">
      <w:pPr>
        <w:jc w:val="both"/>
        <w:rPr>
          <w:rFonts w:ascii="Garamond" w:eastAsia="Garamond" w:hAnsi="Garamond" w:cs="Garamond"/>
        </w:rPr>
      </w:pPr>
      <w:r w:rsidRPr="00C04C4B">
        <w:rPr>
          <w:rFonts w:ascii="Garamond" w:eastAsia="Garamond" w:hAnsi="Garamond" w:cs="Garamond"/>
        </w:rPr>
        <w:t>En materia de seguridad y salud en el trabajo y gestión ambiental, deberá realizar seguimiento a la implementación de los procedimientos establecidos en los manuales adoptados por el Distrito, garantizando condiciones adecuadas durante la ejecución de la obra.</w:t>
      </w:r>
    </w:p>
    <w:p w14:paraId="13F410C5" w14:textId="77777777" w:rsidR="00FB5B9F" w:rsidRPr="00C04C4B" w:rsidRDefault="00FB5B9F" w:rsidP="00FB5B9F">
      <w:pPr>
        <w:jc w:val="both"/>
        <w:rPr>
          <w:rFonts w:ascii="Garamond" w:eastAsia="Garamond" w:hAnsi="Garamond" w:cs="Garamond"/>
        </w:rPr>
      </w:pPr>
    </w:p>
    <w:p w14:paraId="15340BBE" w14:textId="77777777" w:rsidR="00FB5B9F" w:rsidRPr="00C04C4B" w:rsidRDefault="00FB5B9F" w:rsidP="00FB5B9F">
      <w:pPr>
        <w:jc w:val="both"/>
        <w:rPr>
          <w:rFonts w:ascii="Garamond" w:eastAsia="Garamond" w:hAnsi="Garamond" w:cs="Garamond"/>
        </w:rPr>
      </w:pPr>
      <w:r w:rsidRPr="00C04C4B">
        <w:rPr>
          <w:rFonts w:ascii="Garamond" w:eastAsia="Garamond" w:hAnsi="Garamond" w:cs="Garamond"/>
        </w:rPr>
        <w:t>Adicionalmente, la interventoría deberá exigir la presentación y cumplimiento del cronograma de obra por parte del contratista, verificando su coherencia con el plazo contractual, el avance físico de las actividades y la ejecución presupuestal, así como identificar oportunamente posibles retrasos o incumplimientos.</w:t>
      </w:r>
    </w:p>
    <w:p w14:paraId="08B33804" w14:textId="77777777" w:rsidR="00FB5B9F" w:rsidRPr="00C04C4B" w:rsidRDefault="00FB5B9F" w:rsidP="00FB5B9F">
      <w:pPr>
        <w:jc w:val="both"/>
        <w:rPr>
          <w:rFonts w:ascii="Garamond" w:eastAsia="Garamond" w:hAnsi="Garamond" w:cs="Garamond"/>
        </w:rPr>
      </w:pPr>
    </w:p>
    <w:p w14:paraId="5E78A993" w14:textId="77777777" w:rsidR="00FB5B9F" w:rsidRPr="00C04C4B" w:rsidRDefault="00FB5B9F" w:rsidP="00FB5B9F">
      <w:pPr>
        <w:jc w:val="both"/>
        <w:rPr>
          <w:rFonts w:ascii="Garamond" w:eastAsia="Garamond" w:hAnsi="Garamond" w:cs="Garamond"/>
        </w:rPr>
      </w:pPr>
      <w:r w:rsidRPr="00C04C4B">
        <w:rPr>
          <w:rFonts w:ascii="Garamond" w:eastAsia="Garamond" w:hAnsi="Garamond" w:cs="Garamond"/>
        </w:rPr>
        <w:t>De igual forma, deberá estructurar y ejecutar su propio cronograma de actividades de interventoría, en concordancia con el plazo del contrato de obra, justificando las actividades de seguimiento, control y verificación que le correspondan.</w:t>
      </w:r>
    </w:p>
    <w:p w14:paraId="560E481D" w14:textId="77777777" w:rsidR="00FB5B9F" w:rsidRPr="00C04C4B" w:rsidRDefault="00FB5B9F" w:rsidP="00FB5B9F">
      <w:pPr>
        <w:jc w:val="both"/>
        <w:rPr>
          <w:rFonts w:ascii="Garamond" w:eastAsia="Garamond" w:hAnsi="Garamond" w:cs="Garamond"/>
        </w:rPr>
      </w:pPr>
    </w:p>
    <w:p w14:paraId="7CF166F5" w14:textId="77777777" w:rsidR="00FB5B9F" w:rsidRPr="00C04C4B" w:rsidRDefault="00FB5B9F" w:rsidP="00FB5B9F">
      <w:pPr>
        <w:jc w:val="both"/>
        <w:rPr>
          <w:rFonts w:ascii="Garamond" w:eastAsia="Garamond" w:hAnsi="Garamond" w:cs="Garamond"/>
        </w:rPr>
      </w:pPr>
      <w:r w:rsidRPr="00C04C4B">
        <w:rPr>
          <w:rFonts w:ascii="Garamond" w:eastAsia="Garamond" w:hAnsi="Garamond" w:cs="Garamond"/>
        </w:rPr>
        <w:t xml:space="preserve">En caso de requerirse la implementación de señalización en el proyecto, la interventoría deberá verificar el cumplimiento de las especificaciones establecidas en los manuales aplicables del </w:t>
      </w:r>
      <w:proofErr w:type="spellStart"/>
      <w:r w:rsidRPr="00C04C4B">
        <w:rPr>
          <w:rFonts w:ascii="Garamond" w:eastAsia="Garamond" w:hAnsi="Garamond" w:cs="Garamond"/>
        </w:rPr>
        <w:t>IDRD</w:t>
      </w:r>
      <w:proofErr w:type="spellEnd"/>
      <w:r w:rsidRPr="00C04C4B">
        <w:rPr>
          <w:rFonts w:ascii="Garamond" w:eastAsia="Garamond" w:hAnsi="Garamond" w:cs="Garamond"/>
        </w:rPr>
        <w:t>, garantizando que la información suministrada a los usuarios sea adecuada, clara y funcional.</w:t>
      </w:r>
    </w:p>
    <w:p w14:paraId="5407D0D2" w14:textId="77777777" w:rsidR="00FB5B9F" w:rsidRPr="00C04C4B" w:rsidRDefault="00FB5B9F" w:rsidP="00FB5B9F">
      <w:pPr>
        <w:jc w:val="both"/>
        <w:rPr>
          <w:rFonts w:ascii="Garamond" w:eastAsia="Garamond" w:hAnsi="Garamond" w:cs="Garamond"/>
        </w:rPr>
      </w:pPr>
    </w:p>
    <w:p w14:paraId="4DD3E3D0" w14:textId="7CB96147" w:rsidR="0022086B" w:rsidRPr="00C04C4B" w:rsidRDefault="00FB5B9F" w:rsidP="00FB5B9F">
      <w:pPr>
        <w:jc w:val="both"/>
        <w:rPr>
          <w:rFonts w:ascii="Garamond" w:eastAsia="Garamond" w:hAnsi="Garamond" w:cs="Garamond"/>
        </w:rPr>
      </w:pPr>
      <w:r w:rsidRPr="00C04C4B">
        <w:rPr>
          <w:rFonts w:ascii="Garamond" w:eastAsia="Garamond" w:hAnsi="Garamond" w:cs="Garamond"/>
        </w:rPr>
        <w:t>En general, la interventoría deberá garantizar que la ejecución del contrato de obra se realice bajo condiciones de calidad, cumplimiento normativo y adecuada gestión técnica, asegurando la correcta materialización del proyecto conforme a los estándares exigidos.</w:t>
      </w:r>
    </w:p>
    <w:p w14:paraId="6ED5E0D8" w14:textId="77777777" w:rsidR="00FB5B9F" w:rsidRPr="00C04C4B" w:rsidRDefault="00FB5B9F" w:rsidP="00FB5B9F">
      <w:pPr>
        <w:jc w:val="both"/>
        <w:rPr>
          <w:rFonts w:ascii="Garamond" w:eastAsia="Garamond" w:hAnsi="Garamond" w:cs="Garamond"/>
          <w:b/>
        </w:rPr>
      </w:pPr>
    </w:p>
    <w:p w14:paraId="741D73E2" w14:textId="77777777" w:rsidR="00FB5B9F" w:rsidRPr="00C04C4B" w:rsidRDefault="0065443B">
      <w:pPr>
        <w:jc w:val="both"/>
        <w:rPr>
          <w:rFonts w:ascii="Garamond" w:eastAsia="Garamond" w:hAnsi="Garamond" w:cs="Garamond"/>
          <w:b/>
        </w:rPr>
      </w:pPr>
      <w:r w:rsidRPr="00C04C4B">
        <w:rPr>
          <w:rFonts w:ascii="Garamond" w:eastAsia="Garamond" w:hAnsi="Garamond" w:cs="Garamond"/>
          <w:b/>
        </w:rPr>
        <w:t>PARQUE</w:t>
      </w:r>
      <w:r w:rsidR="00FB5B9F" w:rsidRPr="00C04C4B">
        <w:rPr>
          <w:rFonts w:ascii="Garamond" w:eastAsia="Garamond" w:hAnsi="Garamond" w:cs="Garamond"/>
          <w:b/>
        </w:rPr>
        <w:t xml:space="preserve"> </w:t>
      </w:r>
      <w:r w:rsidRPr="00C04C4B">
        <w:rPr>
          <w:rFonts w:ascii="Garamond" w:eastAsia="Garamond" w:hAnsi="Garamond" w:cs="Garamond"/>
          <w:b/>
        </w:rPr>
        <w:t xml:space="preserve">OBJETO DE LAS ACTIVIDADES DE </w:t>
      </w:r>
      <w:r w:rsidR="00FB5B9F" w:rsidRPr="00C04C4B">
        <w:rPr>
          <w:rFonts w:ascii="Garamond" w:eastAsia="Garamond" w:hAnsi="Garamond" w:cs="Garamond"/>
          <w:b/>
        </w:rPr>
        <w:t>INTERVENTORÍA</w:t>
      </w:r>
    </w:p>
    <w:p w14:paraId="253C1D1E" w14:textId="77777777" w:rsidR="00FB5B9F" w:rsidRPr="00C04C4B" w:rsidRDefault="00FB5B9F">
      <w:pPr>
        <w:jc w:val="both"/>
        <w:rPr>
          <w:rFonts w:ascii="Garamond" w:eastAsia="Garamond" w:hAnsi="Garamond" w:cs="Garamond"/>
          <w:b/>
        </w:rPr>
      </w:pPr>
    </w:p>
    <w:tbl>
      <w:tblPr>
        <w:tblStyle w:val="Tablaconcuadrcula3"/>
        <w:tblW w:w="0" w:type="auto"/>
        <w:tblLook w:val="04A0" w:firstRow="1" w:lastRow="0" w:firstColumn="1" w:lastColumn="0" w:noHBand="0" w:noVBand="1"/>
      </w:tblPr>
      <w:tblGrid>
        <w:gridCol w:w="1745"/>
        <w:gridCol w:w="2370"/>
        <w:gridCol w:w="2453"/>
      </w:tblGrid>
      <w:tr w:rsidR="00FB5B9F" w:rsidRPr="00FB5B9F" w14:paraId="651CE837" w14:textId="77777777" w:rsidTr="00FB5B9F">
        <w:tc>
          <w:tcPr>
            <w:tcW w:w="0" w:type="auto"/>
            <w:hideMark/>
          </w:tcPr>
          <w:p w14:paraId="6668DBED" w14:textId="77777777" w:rsidR="00FB5B9F" w:rsidRPr="00FB5B9F" w:rsidRDefault="00FB5B9F" w:rsidP="00FB5B9F">
            <w:pPr>
              <w:jc w:val="center"/>
              <w:rPr>
                <w:rFonts w:ascii="Garamond" w:eastAsia="Garamond" w:hAnsi="Garamond" w:cs="Garamond"/>
                <w:lang w:val="es"/>
              </w:rPr>
            </w:pPr>
            <w:r w:rsidRPr="00FB5B9F">
              <w:rPr>
                <w:rFonts w:ascii="Garamond" w:eastAsia="Garamond" w:hAnsi="Garamond" w:cs="Garamond"/>
                <w:lang w:val="es"/>
              </w:rPr>
              <w:t>Código de Parque</w:t>
            </w:r>
          </w:p>
        </w:tc>
        <w:tc>
          <w:tcPr>
            <w:tcW w:w="0" w:type="auto"/>
            <w:hideMark/>
          </w:tcPr>
          <w:p w14:paraId="5FC9EDAF" w14:textId="77777777" w:rsidR="00FB5B9F" w:rsidRPr="00FB5B9F" w:rsidRDefault="00FB5B9F" w:rsidP="00FB5B9F">
            <w:pPr>
              <w:jc w:val="center"/>
              <w:rPr>
                <w:rFonts w:ascii="Garamond" w:eastAsia="Garamond" w:hAnsi="Garamond" w:cs="Garamond"/>
                <w:lang w:val="es"/>
              </w:rPr>
            </w:pPr>
            <w:r w:rsidRPr="00FB5B9F">
              <w:rPr>
                <w:rFonts w:ascii="Garamond" w:eastAsia="Garamond" w:hAnsi="Garamond" w:cs="Garamond"/>
                <w:lang w:val="es"/>
              </w:rPr>
              <w:t>Nombre</w:t>
            </w:r>
          </w:p>
        </w:tc>
        <w:tc>
          <w:tcPr>
            <w:tcW w:w="0" w:type="auto"/>
            <w:hideMark/>
          </w:tcPr>
          <w:p w14:paraId="60B04390" w14:textId="77777777" w:rsidR="00FB5B9F" w:rsidRPr="00FB5B9F" w:rsidRDefault="00FB5B9F" w:rsidP="00FB5B9F">
            <w:pPr>
              <w:jc w:val="center"/>
              <w:rPr>
                <w:rFonts w:ascii="Garamond" w:eastAsia="Garamond" w:hAnsi="Garamond" w:cs="Garamond"/>
                <w:lang w:val="es"/>
              </w:rPr>
            </w:pPr>
            <w:r w:rsidRPr="00FB5B9F">
              <w:rPr>
                <w:rFonts w:ascii="Garamond" w:eastAsia="Garamond" w:hAnsi="Garamond" w:cs="Garamond"/>
                <w:lang w:val="es"/>
              </w:rPr>
              <w:t>Dirección</w:t>
            </w:r>
          </w:p>
        </w:tc>
      </w:tr>
      <w:tr w:rsidR="00FB5B9F" w:rsidRPr="00FB5B9F" w14:paraId="3E8DAD3A" w14:textId="77777777" w:rsidTr="00FB5B9F">
        <w:tc>
          <w:tcPr>
            <w:tcW w:w="0" w:type="auto"/>
            <w:hideMark/>
          </w:tcPr>
          <w:p w14:paraId="21057E51" w14:textId="77777777" w:rsidR="00FB5B9F" w:rsidRPr="00FB5B9F" w:rsidRDefault="00FB5B9F" w:rsidP="00FB5B9F">
            <w:pPr>
              <w:rPr>
                <w:rFonts w:ascii="Garamond" w:eastAsia="Garamond" w:hAnsi="Garamond" w:cs="Garamond"/>
                <w:lang w:val="es"/>
              </w:rPr>
            </w:pPr>
            <w:r w:rsidRPr="00FB5B9F">
              <w:rPr>
                <w:rFonts w:ascii="Garamond" w:eastAsia="Garamond" w:hAnsi="Garamond" w:cs="Garamond"/>
                <w:lang w:val="es"/>
              </w:rPr>
              <w:t>06-087</w:t>
            </w:r>
          </w:p>
        </w:tc>
        <w:tc>
          <w:tcPr>
            <w:tcW w:w="0" w:type="auto"/>
            <w:hideMark/>
          </w:tcPr>
          <w:p w14:paraId="6ACBB853" w14:textId="1C050776" w:rsidR="00FB5B9F" w:rsidRPr="00FB5B9F" w:rsidRDefault="00C174CA" w:rsidP="00FB5B9F">
            <w:pPr>
              <w:rPr>
                <w:rFonts w:ascii="Garamond" w:eastAsia="Garamond" w:hAnsi="Garamond" w:cs="Garamond"/>
                <w:lang w:val="es"/>
              </w:rPr>
            </w:pPr>
            <w:r w:rsidRPr="00FB5B9F">
              <w:rPr>
                <w:rFonts w:ascii="Garamond" w:eastAsia="Garamond" w:hAnsi="Garamond" w:cs="Garamond"/>
                <w:lang w:val="es"/>
              </w:rPr>
              <w:t>Urbanización El Tunal II</w:t>
            </w:r>
          </w:p>
        </w:tc>
        <w:tc>
          <w:tcPr>
            <w:tcW w:w="0" w:type="auto"/>
            <w:hideMark/>
          </w:tcPr>
          <w:p w14:paraId="246B2C42" w14:textId="67EF6D94" w:rsidR="00FB5B9F" w:rsidRPr="00FB5B9F" w:rsidRDefault="00FB5B9F" w:rsidP="00FB5B9F">
            <w:pPr>
              <w:rPr>
                <w:rFonts w:ascii="Garamond" w:eastAsia="Garamond" w:hAnsi="Garamond" w:cs="Garamond"/>
                <w:lang w:val="es"/>
              </w:rPr>
            </w:pPr>
            <w:r w:rsidRPr="00FB5B9F">
              <w:rPr>
                <w:rFonts w:ascii="Garamond" w:eastAsia="Garamond" w:hAnsi="Garamond" w:cs="Garamond"/>
                <w:lang w:val="es"/>
              </w:rPr>
              <w:t>Calle 55 Sur No. 24C – 05</w:t>
            </w:r>
          </w:p>
        </w:tc>
      </w:tr>
    </w:tbl>
    <w:p w14:paraId="4F6BC439" w14:textId="065E41D5" w:rsidR="0022086B" w:rsidRPr="00C04C4B" w:rsidRDefault="0065443B">
      <w:pPr>
        <w:jc w:val="both"/>
        <w:rPr>
          <w:rFonts w:ascii="Garamond" w:eastAsia="Garamond" w:hAnsi="Garamond" w:cs="Garamond"/>
        </w:rPr>
      </w:pPr>
      <w:r w:rsidRPr="00C04C4B">
        <w:rPr>
          <w:rFonts w:ascii="Garamond" w:eastAsia="Garamond" w:hAnsi="Garamond" w:cs="Garamond"/>
        </w:rPr>
        <w:t xml:space="preserve"> Tabla No. 5 Fuente: Creación Propia </w:t>
      </w:r>
      <w:proofErr w:type="spellStart"/>
      <w:r w:rsidRPr="00C04C4B">
        <w:rPr>
          <w:rFonts w:ascii="Garamond" w:eastAsia="Garamond" w:hAnsi="Garamond" w:cs="Garamond"/>
        </w:rPr>
        <w:t>FDLT</w:t>
      </w:r>
      <w:proofErr w:type="spellEnd"/>
    </w:p>
    <w:p w14:paraId="7453AECC" w14:textId="691048AA" w:rsidR="0022086B" w:rsidRPr="00C04C4B" w:rsidRDefault="0022086B">
      <w:pPr>
        <w:jc w:val="both"/>
        <w:rPr>
          <w:rFonts w:ascii="Garamond" w:eastAsia="Garamond" w:hAnsi="Garamond" w:cs="Garamond"/>
        </w:rPr>
      </w:pPr>
    </w:p>
    <w:p w14:paraId="30C09C1E" w14:textId="0311EB06" w:rsidR="00FB5B9F" w:rsidRPr="00C04C4B" w:rsidRDefault="00FB5B9F">
      <w:pPr>
        <w:jc w:val="both"/>
        <w:rPr>
          <w:rFonts w:ascii="Garamond" w:eastAsia="Garamond" w:hAnsi="Garamond" w:cs="Garamond"/>
        </w:rPr>
      </w:pPr>
      <w:r w:rsidRPr="00C04C4B">
        <w:rPr>
          <w:rFonts w:ascii="Garamond" w:eastAsia="Garamond" w:hAnsi="Garamond" w:cs="Garamond"/>
        </w:rPr>
        <w:t xml:space="preserve">Se precisa que el alcance de la presente interventoría se limita exclusivamente al parque relacionado en la tabla anterior, el cual corresponde al proyecto definido en el contrato de obra. </w:t>
      </w:r>
    </w:p>
    <w:p w14:paraId="6171F9ED" w14:textId="77777777" w:rsidR="00FB5B9F" w:rsidRPr="00C04C4B" w:rsidRDefault="00FB5B9F">
      <w:pPr>
        <w:jc w:val="both"/>
        <w:rPr>
          <w:rFonts w:ascii="Garamond" w:eastAsia="Garamond" w:hAnsi="Garamond" w:cs="Garamond"/>
        </w:rPr>
      </w:pPr>
    </w:p>
    <w:p w14:paraId="636EFA54" w14:textId="2A70A6EE" w:rsidR="00FB5B9F" w:rsidRPr="00C04C4B" w:rsidRDefault="00FB5B9F" w:rsidP="00FB5B9F">
      <w:pPr>
        <w:pStyle w:val="NormalWeb"/>
        <w:rPr>
          <w:rFonts w:ascii="Garamond" w:eastAsia="Garamond" w:hAnsi="Garamond" w:cs="Garamond"/>
          <w:kern w:val="0"/>
          <w:sz w:val="22"/>
          <w:szCs w:val="22"/>
          <w:lang w:val="es" w:eastAsia="es-CO"/>
        </w:rPr>
      </w:pPr>
      <w:r w:rsidRPr="00C04C4B">
        <w:rPr>
          <w:rFonts w:ascii="Garamond" w:eastAsia="Garamond" w:hAnsi="Garamond" w:cs="Garamond"/>
          <w:kern w:val="0"/>
          <w:sz w:val="22"/>
          <w:szCs w:val="22"/>
          <w:lang w:val="es" w:eastAsia="es-CO"/>
        </w:rPr>
        <w:t>La interventoría tendrá por objeto ejercer el control, seguimiento y verificación integral al contrato de obra que adelante el Fondo de Desarrollo Local, en los componentes técnico, administrativo, jurídico, financiero, ambiental, social y de seguridad y salud en el trabajo, garantizando el cumplimiento de las condiciones establecidas en los estudios y diseños, especificaciones técnicas, pliego de condiciones y demás documentos que hacen parte del proceso contractual.</w:t>
      </w:r>
    </w:p>
    <w:p w14:paraId="3EC0BCA5" w14:textId="77777777" w:rsidR="00FB5B9F" w:rsidRPr="00C04C4B" w:rsidRDefault="00FB5B9F" w:rsidP="00FB5B9F">
      <w:pPr>
        <w:pStyle w:val="NormalWeb"/>
        <w:rPr>
          <w:rFonts w:ascii="Garamond" w:eastAsia="Garamond" w:hAnsi="Garamond" w:cs="Garamond"/>
          <w:kern w:val="0"/>
          <w:sz w:val="22"/>
          <w:szCs w:val="22"/>
          <w:lang w:val="es" w:eastAsia="es-CO"/>
        </w:rPr>
      </w:pPr>
    </w:p>
    <w:p w14:paraId="33865D1B" w14:textId="77777777" w:rsidR="00FB5B9F" w:rsidRPr="00C04C4B" w:rsidRDefault="00FB5B9F" w:rsidP="00FB5B9F">
      <w:pPr>
        <w:pStyle w:val="NormalWeb"/>
        <w:rPr>
          <w:rFonts w:ascii="Garamond" w:eastAsia="Garamond" w:hAnsi="Garamond" w:cs="Garamond"/>
          <w:kern w:val="0"/>
          <w:sz w:val="22"/>
          <w:szCs w:val="22"/>
          <w:lang w:val="es" w:eastAsia="es-CO"/>
        </w:rPr>
      </w:pPr>
      <w:r w:rsidRPr="00C04C4B">
        <w:rPr>
          <w:rFonts w:ascii="Garamond" w:eastAsia="Garamond" w:hAnsi="Garamond" w:cs="Garamond"/>
          <w:kern w:val="0"/>
          <w:sz w:val="22"/>
          <w:szCs w:val="22"/>
          <w:lang w:val="es" w:eastAsia="es-CO"/>
        </w:rPr>
        <w:t>Para el cumplimiento de este objeto, la interventoría desarrollará las siguientes actividades:</w:t>
      </w:r>
    </w:p>
    <w:p w14:paraId="44AEA090" w14:textId="5F49B9FA" w:rsidR="00FB5B9F" w:rsidRPr="00C04C4B" w:rsidRDefault="00FB5B9F" w:rsidP="00FB5B9F">
      <w:pPr>
        <w:rPr>
          <w:rFonts w:ascii="Garamond" w:eastAsia="Garamond" w:hAnsi="Garamond" w:cs="Garamond"/>
        </w:rPr>
      </w:pPr>
    </w:p>
    <w:p w14:paraId="7A528049" w14:textId="77777777" w:rsidR="00FB5B9F" w:rsidRPr="00C04C4B" w:rsidRDefault="00FB5B9F" w:rsidP="00FB5B9F">
      <w:pPr>
        <w:pStyle w:val="Ttulo3"/>
        <w:rPr>
          <w:rFonts w:ascii="Garamond" w:eastAsia="Garamond" w:hAnsi="Garamond" w:cs="Garamond"/>
          <w:color w:val="auto"/>
          <w:sz w:val="22"/>
          <w:szCs w:val="22"/>
        </w:rPr>
      </w:pPr>
      <w:r w:rsidRPr="00C04C4B">
        <w:rPr>
          <w:rFonts w:ascii="Garamond" w:eastAsia="Garamond" w:hAnsi="Garamond" w:cs="Garamond"/>
          <w:color w:val="auto"/>
          <w:sz w:val="22"/>
          <w:szCs w:val="22"/>
        </w:rPr>
        <w:lastRenderedPageBreak/>
        <w:t>1. Actividades de seguimiento técnico</w:t>
      </w:r>
    </w:p>
    <w:p w14:paraId="4A1077C4" w14:textId="77777777" w:rsidR="00FB5B9F" w:rsidRPr="00C04C4B" w:rsidRDefault="00FB5B9F" w:rsidP="00A23238">
      <w:pPr>
        <w:widowControl/>
        <w:numPr>
          <w:ilvl w:val="0"/>
          <w:numId w:val="20"/>
        </w:numPr>
        <w:spacing w:before="100" w:beforeAutospacing="1" w:after="100" w:afterAutospacing="1"/>
        <w:rPr>
          <w:rFonts w:ascii="Garamond" w:eastAsia="Garamond" w:hAnsi="Garamond" w:cs="Garamond"/>
        </w:rPr>
      </w:pPr>
      <w:r w:rsidRPr="00C04C4B">
        <w:rPr>
          <w:rFonts w:ascii="Garamond" w:eastAsia="Garamond" w:hAnsi="Garamond" w:cs="Garamond"/>
        </w:rPr>
        <w:t xml:space="preserve">Verificar en campo que las actividades constructivas se ejecuten conforme a las especificaciones técnicas, estudios, diseños y lineamientos del proyecto. </w:t>
      </w:r>
    </w:p>
    <w:p w14:paraId="74CF6ECB" w14:textId="77777777" w:rsidR="00FB5B9F" w:rsidRPr="00C04C4B" w:rsidRDefault="00FB5B9F" w:rsidP="00A23238">
      <w:pPr>
        <w:widowControl/>
        <w:numPr>
          <w:ilvl w:val="0"/>
          <w:numId w:val="20"/>
        </w:numPr>
        <w:spacing w:before="100" w:beforeAutospacing="1" w:after="100" w:afterAutospacing="1"/>
        <w:rPr>
          <w:rFonts w:ascii="Garamond" w:eastAsia="Garamond" w:hAnsi="Garamond" w:cs="Garamond"/>
        </w:rPr>
      </w:pPr>
      <w:r w:rsidRPr="00C04C4B">
        <w:rPr>
          <w:rFonts w:ascii="Garamond" w:eastAsia="Garamond" w:hAnsi="Garamond" w:cs="Garamond"/>
        </w:rPr>
        <w:t xml:space="preserve">Controlar la calidad de los materiales y de los procesos constructivos, dejando registro documental y fotográfico de las verificaciones realizadas. </w:t>
      </w:r>
    </w:p>
    <w:p w14:paraId="54DA64B8" w14:textId="77777777" w:rsidR="00FB5B9F" w:rsidRPr="00C04C4B" w:rsidRDefault="00FB5B9F" w:rsidP="00A23238">
      <w:pPr>
        <w:widowControl/>
        <w:numPr>
          <w:ilvl w:val="0"/>
          <w:numId w:val="20"/>
        </w:numPr>
        <w:spacing w:before="100" w:beforeAutospacing="1" w:after="100" w:afterAutospacing="1"/>
        <w:rPr>
          <w:rFonts w:ascii="Garamond" w:eastAsia="Garamond" w:hAnsi="Garamond" w:cs="Garamond"/>
        </w:rPr>
      </w:pPr>
      <w:r w:rsidRPr="00C04C4B">
        <w:rPr>
          <w:rFonts w:ascii="Garamond" w:eastAsia="Garamond" w:hAnsi="Garamond" w:cs="Garamond"/>
        </w:rPr>
        <w:t xml:space="preserve">Validar el avance físico de la obra frente al cronograma aprobado, identificando desviaciones y solicitando los ajustes correspondientes. </w:t>
      </w:r>
    </w:p>
    <w:p w14:paraId="5956D42A" w14:textId="77777777" w:rsidR="00FB5B9F" w:rsidRPr="00C04C4B" w:rsidRDefault="00FB5B9F" w:rsidP="00A23238">
      <w:pPr>
        <w:widowControl/>
        <w:numPr>
          <w:ilvl w:val="0"/>
          <w:numId w:val="20"/>
        </w:numPr>
        <w:spacing w:before="100" w:beforeAutospacing="1" w:after="100" w:afterAutospacing="1"/>
        <w:rPr>
          <w:rFonts w:ascii="Garamond" w:eastAsia="Garamond" w:hAnsi="Garamond" w:cs="Garamond"/>
        </w:rPr>
      </w:pPr>
      <w:r w:rsidRPr="00C04C4B">
        <w:rPr>
          <w:rFonts w:ascii="Garamond" w:eastAsia="Garamond" w:hAnsi="Garamond" w:cs="Garamond"/>
        </w:rPr>
        <w:t xml:space="preserve">Revisar y emitir concepto técnico sobre situaciones particulares, ajustes o modificaciones que se presenten durante la ejecución del contrato. </w:t>
      </w:r>
    </w:p>
    <w:p w14:paraId="7316299E" w14:textId="291D2CBB" w:rsidR="00FB5B9F" w:rsidRPr="00C04C4B" w:rsidRDefault="00FB5B9F" w:rsidP="00FB5B9F">
      <w:pPr>
        <w:rPr>
          <w:rFonts w:ascii="Garamond" w:eastAsia="Garamond" w:hAnsi="Garamond" w:cs="Garamond"/>
        </w:rPr>
      </w:pPr>
    </w:p>
    <w:p w14:paraId="344794DA" w14:textId="77777777" w:rsidR="00FB5B9F" w:rsidRPr="00C04C4B" w:rsidRDefault="00FB5B9F" w:rsidP="00FB5B9F">
      <w:pPr>
        <w:pStyle w:val="Ttulo3"/>
        <w:rPr>
          <w:rFonts w:ascii="Garamond" w:eastAsia="Garamond" w:hAnsi="Garamond" w:cs="Garamond"/>
          <w:color w:val="auto"/>
          <w:sz w:val="22"/>
          <w:szCs w:val="22"/>
        </w:rPr>
      </w:pPr>
      <w:r w:rsidRPr="00C04C4B">
        <w:rPr>
          <w:rFonts w:ascii="Garamond" w:eastAsia="Garamond" w:hAnsi="Garamond" w:cs="Garamond"/>
          <w:color w:val="auto"/>
          <w:sz w:val="22"/>
          <w:szCs w:val="22"/>
        </w:rPr>
        <w:t>2. Actividades de seguimiento administrativo y jurídico</w:t>
      </w:r>
    </w:p>
    <w:p w14:paraId="39262BD0" w14:textId="77777777" w:rsidR="00FB5B9F" w:rsidRPr="00C04C4B" w:rsidRDefault="00FB5B9F" w:rsidP="00A23238">
      <w:pPr>
        <w:widowControl/>
        <w:numPr>
          <w:ilvl w:val="0"/>
          <w:numId w:val="21"/>
        </w:numPr>
        <w:spacing w:before="100" w:beforeAutospacing="1" w:after="100" w:afterAutospacing="1"/>
        <w:rPr>
          <w:rFonts w:ascii="Garamond" w:eastAsia="Garamond" w:hAnsi="Garamond" w:cs="Garamond"/>
        </w:rPr>
      </w:pPr>
      <w:r w:rsidRPr="00C04C4B">
        <w:rPr>
          <w:rFonts w:ascii="Garamond" w:eastAsia="Garamond" w:hAnsi="Garamond" w:cs="Garamond"/>
        </w:rPr>
        <w:t xml:space="preserve">Verificar la existencia, vigencia, suficiencia y actualización de las pólizas y garantías exigidas en el contrato de obra. </w:t>
      </w:r>
    </w:p>
    <w:p w14:paraId="086BA262" w14:textId="77777777" w:rsidR="00FB5B9F" w:rsidRPr="00C04C4B" w:rsidRDefault="00FB5B9F" w:rsidP="00A23238">
      <w:pPr>
        <w:widowControl/>
        <w:numPr>
          <w:ilvl w:val="0"/>
          <w:numId w:val="21"/>
        </w:numPr>
        <w:spacing w:before="100" w:beforeAutospacing="1" w:after="100" w:afterAutospacing="1"/>
        <w:rPr>
          <w:rFonts w:ascii="Garamond" w:eastAsia="Garamond" w:hAnsi="Garamond" w:cs="Garamond"/>
        </w:rPr>
      </w:pPr>
      <w:r w:rsidRPr="00C04C4B">
        <w:rPr>
          <w:rFonts w:ascii="Garamond" w:eastAsia="Garamond" w:hAnsi="Garamond" w:cs="Garamond"/>
        </w:rPr>
        <w:t xml:space="preserve">Revisar y avalar las actas contractuales (inicio, suspensión, reinicio, terminación y liquidación). </w:t>
      </w:r>
    </w:p>
    <w:p w14:paraId="24413895" w14:textId="77777777" w:rsidR="00FB5B9F" w:rsidRPr="00C04C4B" w:rsidRDefault="00FB5B9F" w:rsidP="00A23238">
      <w:pPr>
        <w:widowControl/>
        <w:numPr>
          <w:ilvl w:val="0"/>
          <w:numId w:val="21"/>
        </w:numPr>
        <w:spacing w:before="100" w:beforeAutospacing="1" w:after="100" w:afterAutospacing="1"/>
        <w:rPr>
          <w:rFonts w:ascii="Garamond" w:eastAsia="Garamond" w:hAnsi="Garamond" w:cs="Garamond"/>
        </w:rPr>
      </w:pPr>
      <w:r w:rsidRPr="00C04C4B">
        <w:rPr>
          <w:rFonts w:ascii="Garamond" w:eastAsia="Garamond" w:hAnsi="Garamond" w:cs="Garamond"/>
        </w:rPr>
        <w:t xml:space="preserve">Verificar el cumplimiento de las obligaciones contractuales del contratista y reportar oportunamente cualquier incumplimiento. </w:t>
      </w:r>
    </w:p>
    <w:p w14:paraId="752481B2" w14:textId="77777777" w:rsidR="00FB5B9F" w:rsidRPr="00C04C4B" w:rsidRDefault="00FB5B9F" w:rsidP="00A23238">
      <w:pPr>
        <w:widowControl/>
        <w:numPr>
          <w:ilvl w:val="0"/>
          <w:numId w:val="21"/>
        </w:numPr>
        <w:spacing w:before="100" w:beforeAutospacing="1" w:after="100" w:afterAutospacing="1"/>
        <w:rPr>
          <w:rFonts w:ascii="Garamond" w:eastAsia="Garamond" w:hAnsi="Garamond" w:cs="Garamond"/>
        </w:rPr>
      </w:pPr>
      <w:r w:rsidRPr="00C04C4B">
        <w:rPr>
          <w:rFonts w:ascii="Garamond" w:eastAsia="Garamond" w:hAnsi="Garamond" w:cs="Garamond"/>
        </w:rPr>
        <w:t xml:space="preserve">Elaborar y remitir informes y comunicaciones requeridas para el adecuado seguimiento del contrato. </w:t>
      </w:r>
    </w:p>
    <w:p w14:paraId="14907424" w14:textId="598A48F1" w:rsidR="00FB5B9F" w:rsidRPr="00C04C4B" w:rsidRDefault="00FB5B9F" w:rsidP="00FB5B9F">
      <w:pPr>
        <w:rPr>
          <w:rFonts w:ascii="Garamond" w:eastAsia="Garamond" w:hAnsi="Garamond" w:cs="Garamond"/>
        </w:rPr>
      </w:pPr>
    </w:p>
    <w:p w14:paraId="04C440E7" w14:textId="77777777" w:rsidR="00FB5B9F" w:rsidRPr="00C04C4B" w:rsidRDefault="00FB5B9F" w:rsidP="00FB5B9F">
      <w:pPr>
        <w:pStyle w:val="Ttulo3"/>
        <w:rPr>
          <w:rFonts w:ascii="Garamond" w:eastAsia="Garamond" w:hAnsi="Garamond" w:cs="Garamond"/>
          <w:color w:val="auto"/>
          <w:sz w:val="22"/>
          <w:szCs w:val="22"/>
        </w:rPr>
      </w:pPr>
      <w:r w:rsidRPr="00C04C4B">
        <w:rPr>
          <w:rFonts w:ascii="Garamond" w:eastAsia="Garamond" w:hAnsi="Garamond" w:cs="Garamond"/>
          <w:color w:val="auto"/>
          <w:sz w:val="22"/>
          <w:szCs w:val="22"/>
        </w:rPr>
        <w:t>3. Actividades de seguimiento financiero</w:t>
      </w:r>
    </w:p>
    <w:p w14:paraId="77FA9DC1" w14:textId="77777777" w:rsidR="00FB5B9F" w:rsidRPr="00C04C4B" w:rsidRDefault="00FB5B9F" w:rsidP="00A23238">
      <w:pPr>
        <w:widowControl/>
        <w:numPr>
          <w:ilvl w:val="0"/>
          <w:numId w:val="22"/>
        </w:numPr>
        <w:spacing w:before="100" w:beforeAutospacing="1" w:after="100" w:afterAutospacing="1"/>
        <w:rPr>
          <w:rFonts w:ascii="Garamond" w:eastAsia="Garamond" w:hAnsi="Garamond" w:cs="Garamond"/>
        </w:rPr>
      </w:pPr>
      <w:r w:rsidRPr="00C04C4B">
        <w:rPr>
          <w:rFonts w:ascii="Garamond" w:eastAsia="Garamond" w:hAnsi="Garamond" w:cs="Garamond"/>
        </w:rPr>
        <w:t xml:space="preserve">Revisar y avalar las cuentas de cobro y/o actas de pago, verificando la correspondencia entre cantidades ejecutadas, precios unitarios y soportes. </w:t>
      </w:r>
    </w:p>
    <w:p w14:paraId="6482EC06" w14:textId="77777777" w:rsidR="00FB5B9F" w:rsidRPr="00C04C4B" w:rsidRDefault="00FB5B9F" w:rsidP="00A23238">
      <w:pPr>
        <w:widowControl/>
        <w:numPr>
          <w:ilvl w:val="0"/>
          <w:numId w:val="22"/>
        </w:numPr>
        <w:spacing w:before="100" w:beforeAutospacing="1" w:after="100" w:afterAutospacing="1"/>
        <w:rPr>
          <w:rFonts w:ascii="Garamond" w:eastAsia="Garamond" w:hAnsi="Garamond" w:cs="Garamond"/>
        </w:rPr>
      </w:pPr>
      <w:r w:rsidRPr="00C04C4B">
        <w:rPr>
          <w:rFonts w:ascii="Garamond" w:eastAsia="Garamond" w:hAnsi="Garamond" w:cs="Garamond"/>
        </w:rPr>
        <w:t xml:space="preserve">Conciliar el avance físico con el avance financiero del contrato. </w:t>
      </w:r>
    </w:p>
    <w:p w14:paraId="0DA58636" w14:textId="77777777" w:rsidR="00FB5B9F" w:rsidRPr="00C04C4B" w:rsidRDefault="00FB5B9F" w:rsidP="00A23238">
      <w:pPr>
        <w:widowControl/>
        <w:numPr>
          <w:ilvl w:val="0"/>
          <w:numId w:val="22"/>
        </w:numPr>
        <w:spacing w:before="100" w:beforeAutospacing="1" w:after="100" w:afterAutospacing="1"/>
        <w:rPr>
          <w:rFonts w:ascii="Garamond" w:eastAsia="Garamond" w:hAnsi="Garamond" w:cs="Garamond"/>
        </w:rPr>
      </w:pPr>
      <w:r w:rsidRPr="00C04C4B">
        <w:rPr>
          <w:rFonts w:ascii="Garamond" w:eastAsia="Garamond" w:hAnsi="Garamond" w:cs="Garamond"/>
        </w:rPr>
        <w:t xml:space="preserve">Presentar a la entidad el detalle de pagos recomendados, junto con las observaciones correspondientes. </w:t>
      </w:r>
    </w:p>
    <w:p w14:paraId="221A8BE7" w14:textId="77777777" w:rsidR="00FB5B9F" w:rsidRPr="00C04C4B" w:rsidRDefault="00FB5B9F" w:rsidP="00A23238">
      <w:pPr>
        <w:widowControl/>
        <w:numPr>
          <w:ilvl w:val="0"/>
          <w:numId w:val="22"/>
        </w:numPr>
        <w:spacing w:before="100" w:beforeAutospacing="1" w:after="100" w:afterAutospacing="1"/>
        <w:rPr>
          <w:rFonts w:ascii="Garamond" w:eastAsia="Garamond" w:hAnsi="Garamond" w:cs="Garamond"/>
        </w:rPr>
      </w:pPr>
      <w:r w:rsidRPr="00C04C4B">
        <w:rPr>
          <w:rFonts w:ascii="Garamond" w:eastAsia="Garamond" w:hAnsi="Garamond" w:cs="Garamond"/>
        </w:rPr>
        <w:t xml:space="preserve">Garantizar la trazabilidad de la información contractual en las plataformas oficiales de contratación. </w:t>
      </w:r>
    </w:p>
    <w:p w14:paraId="6F75DEED" w14:textId="73A9F0DD" w:rsidR="00FB5B9F" w:rsidRPr="00C04C4B" w:rsidRDefault="00FB5B9F" w:rsidP="00FB5B9F">
      <w:pPr>
        <w:rPr>
          <w:rFonts w:ascii="Garamond" w:eastAsia="Garamond" w:hAnsi="Garamond" w:cs="Garamond"/>
        </w:rPr>
      </w:pPr>
    </w:p>
    <w:p w14:paraId="17F62B47" w14:textId="77777777" w:rsidR="00FB5B9F" w:rsidRPr="00C04C4B" w:rsidRDefault="00FB5B9F" w:rsidP="00FB5B9F">
      <w:pPr>
        <w:pStyle w:val="Ttulo3"/>
        <w:rPr>
          <w:rFonts w:ascii="Garamond" w:eastAsia="Garamond" w:hAnsi="Garamond" w:cs="Garamond"/>
          <w:color w:val="auto"/>
          <w:sz w:val="22"/>
          <w:szCs w:val="22"/>
        </w:rPr>
      </w:pPr>
      <w:r w:rsidRPr="00C04C4B">
        <w:rPr>
          <w:rFonts w:ascii="Garamond" w:eastAsia="Garamond" w:hAnsi="Garamond" w:cs="Garamond"/>
          <w:color w:val="auto"/>
          <w:sz w:val="22"/>
          <w:szCs w:val="22"/>
        </w:rPr>
        <w:t>4. Actividades de seguimiento ambiental, social y SST</w:t>
      </w:r>
    </w:p>
    <w:p w14:paraId="59E6FBF6" w14:textId="77777777" w:rsidR="00FB5B9F" w:rsidRPr="00C04C4B" w:rsidRDefault="00FB5B9F" w:rsidP="00A23238">
      <w:pPr>
        <w:widowControl/>
        <w:numPr>
          <w:ilvl w:val="0"/>
          <w:numId w:val="23"/>
        </w:numPr>
        <w:spacing w:before="100" w:beforeAutospacing="1" w:after="100" w:afterAutospacing="1"/>
        <w:rPr>
          <w:rFonts w:ascii="Garamond" w:eastAsia="Garamond" w:hAnsi="Garamond" w:cs="Garamond"/>
        </w:rPr>
      </w:pPr>
      <w:r w:rsidRPr="00C04C4B">
        <w:rPr>
          <w:rFonts w:ascii="Garamond" w:eastAsia="Garamond" w:hAnsi="Garamond" w:cs="Garamond"/>
        </w:rPr>
        <w:t xml:space="preserve">Verificar el cumplimiento de las obligaciones ambientales, de seguridad y salud en el trabajo y de manejo de residuos. </w:t>
      </w:r>
    </w:p>
    <w:p w14:paraId="0D5CFCEA" w14:textId="77777777" w:rsidR="00FB5B9F" w:rsidRPr="00C04C4B" w:rsidRDefault="00FB5B9F" w:rsidP="00A23238">
      <w:pPr>
        <w:widowControl/>
        <w:numPr>
          <w:ilvl w:val="0"/>
          <w:numId w:val="23"/>
        </w:numPr>
        <w:spacing w:before="100" w:beforeAutospacing="1" w:after="100" w:afterAutospacing="1"/>
        <w:rPr>
          <w:rFonts w:ascii="Garamond" w:eastAsia="Garamond" w:hAnsi="Garamond" w:cs="Garamond"/>
        </w:rPr>
      </w:pPr>
      <w:r w:rsidRPr="00C04C4B">
        <w:rPr>
          <w:rFonts w:ascii="Garamond" w:eastAsia="Garamond" w:hAnsi="Garamond" w:cs="Garamond"/>
        </w:rPr>
        <w:t xml:space="preserve">Hacer seguimiento a la implementación de medidas de manejo social durante la ejecución del contrato. </w:t>
      </w:r>
    </w:p>
    <w:p w14:paraId="435F49BD" w14:textId="77777777" w:rsidR="00FB5B9F" w:rsidRPr="00C04C4B" w:rsidRDefault="00FB5B9F" w:rsidP="00A23238">
      <w:pPr>
        <w:widowControl/>
        <w:numPr>
          <w:ilvl w:val="0"/>
          <w:numId w:val="23"/>
        </w:numPr>
        <w:spacing w:before="100" w:beforeAutospacing="1" w:after="100" w:afterAutospacing="1"/>
        <w:rPr>
          <w:rFonts w:ascii="Garamond" w:eastAsia="Garamond" w:hAnsi="Garamond" w:cs="Garamond"/>
        </w:rPr>
      </w:pPr>
      <w:r w:rsidRPr="00C04C4B">
        <w:rPr>
          <w:rFonts w:ascii="Garamond" w:eastAsia="Garamond" w:hAnsi="Garamond" w:cs="Garamond"/>
        </w:rPr>
        <w:lastRenderedPageBreak/>
        <w:t xml:space="preserve">Registrar mediante soporte fotográfico las condiciones iniciales, el desarrollo de las actividades y la entrega final de la obra. </w:t>
      </w:r>
    </w:p>
    <w:p w14:paraId="4DD91013" w14:textId="77777777" w:rsidR="00FB5B9F" w:rsidRPr="00C04C4B" w:rsidRDefault="00FB5B9F" w:rsidP="00FB5B9F">
      <w:pPr>
        <w:pStyle w:val="Ttulo3"/>
        <w:rPr>
          <w:rFonts w:ascii="Garamond" w:eastAsia="Garamond" w:hAnsi="Garamond" w:cs="Garamond"/>
          <w:color w:val="auto"/>
          <w:sz w:val="22"/>
          <w:szCs w:val="22"/>
        </w:rPr>
      </w:pPr>
      <w:r w:rsidRPr="00C04C4B">
        <w:rPr>
          <w:rFonts w:ascii="Garamond" w:eastAsia="Garamond" w:hAnsi="Garamond" w:cs="Garamond"/>
          <w:color w:val="auto"/>
          <w:sz w:val="22"/>
          <w:szCs w:val="22"/>
        </w:rPr>
        <w:t>5. Entregables mínimos</w:t>
      </w:r>
    </w:p>
    <w:p w14:paraId="1B4A7BC7" w14:textId="77777777" w:rsidR="00FB5B9F" w:rsidRPr="00C04C4B" w:rsidRDefault="00FB5B9F" w:rsidP="00A23238">
      <w:pPr>
        <w:widowControl/>
        <w:numPr>
          <w:ilvl w:val="0"/>
          <w:numId w:val="24"/>
        </w:numPr>
        <w:spacing w:before="100" w:beforeAutospacing="1" w:after="100" w:afterAutospacing="1"/>
        <w:rPr>
          <w:rFonts w:ascii="Garamond" w:eastAsia="Garamond" w:hAnsi="Garamond" w:cs="Garamond"/>
        </w:rPr>
      </w:pPr>
      <w:r w:rsidRPr="00C04C4B">
        <w:rPr>
          <w:rFonts w:ascii="Garamond" w:eastAsia="Garamond" w:hAnsi="Garamond" w:cs="Garamond"/>
        </w:rPr>
        <w:t xml:space="preserve">Informe de inicio de interventoría, incluyendo metodología, plan de trabajo y cronograma. </w:t>
      </w:r>
    </w:p>
    <w:p w14:paraId="137B30BA" w14:textId="77777777" w:rsidR="00FB5B9F" w:rsidRPr="00C04C4B" w:rsidRDefault="00FB5B9F" w:rsidP="00A23238">
      <w:pPr>
        <w:widowControl/>
        <w:numPr>
          <w:ilvl w:val="0"/>
          <w:numId w:val="24"/>
        </w:numPr>
        <w:spacing w:before="100" w:beforeAutospacing="1" w:after="100" w:afterAutospacing="1"/>
        <w:rPr>
          <w:rFonts w:ascii="Garamond" w:eastAsia="Garamond" w:hAnsi="Garamond" w:cs="Garamond"/>
        </w:rPr>
      </w:pPr>
      <w:r w:rsidRPr="00C04C4B">
        <w:rPr>
          <w:rFonts w:ascii="Garamond" w:eastAsia="Garamond" w:hAnsi="Garamond" w:cs="Garamond"/>
        </w:rPr>
        <w:t xml:space="preserve">Informes periódicos (mensuales o según lo definido), integrando componentes técnico, administrativo, jurídico y financiero, con sus respectivos soportes. </w:t>
      </w:r>
    </w:p>
    <w:p w14:paraId="78090238" w14:textId="77777777" w:rsidR="00FB5B9F" w:rsidRPr="00C04C4B" w:rsidRDefault="00FB5B9F" w:rsidP="00A23238">
      <w:pPr>
        <w:widowControl/>
        <w:numPr>
          <w:ilvl w:val="0"/>
          <w:numId w:val="24"/>
        </w:numPr>
        <w:spacing w:before="100" w:beforeAutospacing="1" w:after="100" w:afterAutospacing="1"/>
        <w:rPr>
          <w:rFonts w:ascii="Garamond" w:eastAsia="Garamond" w:hAnsi="Garamond" w:cs="Garamond"/>
        </w:rPr>
      </w:pPr>
      <w:r w:rsidRPr="00C04C4B">
        <w:rPr>
          <w:rFonts w:ascii="Garamond" w:eastAsia="Garamond" w:hAnsi="Garamond" w:cs="Garamond"/>
        </w:rPr>
        <w:t xml:space="preserve">Actas y memorias de comités técnicos o reuniones de seguimiento. </w:t>
      </w:r>
    </w:p>
    <w:p w14:paraId="0CA71675" w14:textId="77777777" w:rsidR="00FB5B9F" w:rsidRPr="00C04C4B" w:rsidRDefault="00FB5B9F" w:rsidP="00A23238">
      <w:pPr>
        <w:widowControl/>
        <w:numPr>
          <w:ilvl w:val="0"/>
          <w:numId w:val="24"/>
        </w:numPr>
        <w:spacing w:before="100" w:beforeAutospacing="1" w:after="100" w:afterAutospacing="1"/>
        <w:rPr>
          <w:rFonts w:ascii="Garamond" w:eastAsia="Garamond" w:hAnsi="Garamond" w:cs="Garamond"/>
        </w:rPr>
      </w:pPr>
      <w:r w:rsidRPr="00C04C4B">
        <w:rPr>
          <w:rFonts w:ascii="Garamond" w:eastAsia="Garamond" w:hAnsi="Garamond" w:cs="Garamond"/>
        </w:rPr>
        <w:t xml:space="preserve">Conceptos técnicos, administrativos y jurídicos requeridos durante la ejecución. </w:t>
      </w:r>
    </w:p>
    <w:p w14:paraId="01154094" w14:textId="77777777" w:rsidR="00FB5B9F" w:rsidRPr="00C04C4B" w:rsidRDefault="00FB5B9F" w:rsidP="00A23238">
      <w:pPr>
        <w:widowControl/>
        <w:numPr>
          <w:ilvl w:val="0"/>
          <w:numId w:val="24"/>
        </w:numPr>
        <w:spacing w:before="100" w:beforeAutospacing="1" w:after="100" w:afterAutospacing="1"/>
        <w:rPr>
          <w:rFonts w:ascii="Garamond" w:eastAsia="Garamond" w:hAnsi="Garamond" w:cs="Garamond"/>
        </w:rPr>
      </w:pPr>
      <w:r w:rsidRPr="00C04C4B">
        <w:rPr>
          <w:rFonts w:ascii="Garamond" w:eastAsia="Garamond" w:hAnsi="Garamond" w:cs="Garamond"/>
        </w:rPr>
        <w:t xml:space="preserve">Informe final de interventoría, incluyendo balance de ejecución, estado financiero, cumplimiento contractual y cierre documental. </w:t>
      </w:r>
    </w:p>
    <w:p w14:paraId="6CA658D6" w14:textId="77777777" w:rsidR="003F7BD3" w:rsidRPr="00C04C4B" w:rsidRDefault="003F7BD3" w:rsidP="003F7BD3">
      <w:pPr>
        <w:widowControl/>
        <w:spacing w:before="100" w:beforeAutospacing="1" w:after="100" w:afterAutospacing="1"/>
        <w:jc w:val="both"/>
        <w:rPr>
          <w:rFonts w:ascii="Garamond" w:hAnsi="Garamond"/>
          <w:lang w:val="es-CO"/>
        </w:rPr>
      </w:pPr>
      <w:r w:rsidRPr="00C04C4B">
        <w:rPr>
          <w:rFonts w:ascii="Garamond" w:hAnsi="Garamond"/>
          <w:lang w:val="es-CO"/>
        </w:rPr>
        <w:t>Para la ejecución del contrato de interventoría se establece un plazo de cuatro (4) meses, contado a partir de la suscripción del acta de inicio, el cual se encuentra directamente asociado al plazo del contrato de obra, desarrollándose de manera paralela y articulada con su cronograma de ejecución.</w:t>
      </w:r>
    </w:p>
    <w:p w14:paraId="6D2E42C0" w14:textId="64BF4F15" w:rsidR="003F7BD3" w:rsidRPr="00C04C4B" w:rsidRDefault="003F7BD3" w:rsidP="003F7BD3">
      <w:pPr>
        <w:widowControl/>
        <w:spacing w:before="100" w:beforeAutospacing="1" w:after="100" w:afterAutospacing="1"/>
        <w:jc w:val="both"/>
        <w:rPr>
          <w:rFonts w:ascii="Garamond" w:hAnsi="Garamond"/>
          <w:lang w:val="es-CO"/>
        </w:rPr>
      </w:pPr>
      <w:r w:rsidRPr="00C04C4B">
        <w:rPr>
          <w:rFonts w:ascii="Garamond" w:hAnsi="Garamond"/>
          <w:lang w:val="es-CO"/>
        </w:rPr>
        <w:t xml:space="preserve">El plazo definido permite garantizar el seguimiento integral durante todas las fases del proyecto, incluyendo las actividades de inicio, ejecución, control permanente, verificación de cumplimiento de obligaciones contractuales, </w:t>
      </w:r>
      <w:proofErr w:type="spellStart"/>
      <w:r w:rsidRPr="00C04C4B">
        <w:rPr>
          <w:rFonts w:ascii="Garamond" w:hAnsi="Garamond"/>
          <w:lang w:val="es-CO"/>
        </w:rPr>
        <w:t>elaboraión</w:t>
      </w:r>
      <w:proofErr w:type="spellEnd"/>
      <w:r w:rsidRPr="00C04C4B">
        <w:rPr>
          <w:rFonts w:ascii="Garamond" w:hAnsi="Garamond"/>
          <w:lang w:val="es-CO"/>
        </w:rPr>
        <w:t xml:space="preserve"> de informes periódicos y cierre técnico, administrativo y financiero del contrato.</w:t>
      </w:r>
    </w:p>
    <w:p w14:paraId="2B61DB0B" w14:textId="1A49B46B" w:rsidR="003F7BD3" w:rsidRPr="00C04C4B" w:rsidRDefault="003F7BD3" w:rsidP="003F7BD3">
      <w:pPr>
        <w:widowControl/>
        <w:spacing w:before="100" w:beforeAutospacing="1" w:after="100" w:afterAutospacing="1"/>
        <w:jc w:val="both"/>
        <w:rPr>
          <w:rFonts w:ascii="Garamond" w:hAnsi="Garamond"/>
          <w:lang w:val="es-CO"/>
        </w:rPr>
      </w:pPr>
      <w:r w:rsidRPr="00C04C4B">
        <w:rPr>
          <w:rFonts w:ascii="Garamond" w:hAnsi="Garamond"/>
          <w:lang w:val="es-CO"/>
        </w:rPr>
        <w:t>Así mismo, el plazo establecido se considera suficiente para asegurar la supervisión continua de las actividades constructivas, la validación de los avances físicos y financieros, la gestión oportuna de situaciones que se presenten durante la ejecución y la adecuada consolidación de la información requerida para el recibo a satisfacción y liquidación del contrato.</w:t>
      </w:r>
      <w:r w:rsidRPr="00C04C4B">
        <w:rPr>
          <w:rFonts w:ascii="Garamond" w:hAnsi="Garamond"/>
          <w:lang w:val="es-CO"/>
        </w:rPr>
        <w:t xml:space="preserve"> </w:t>
      </w:r>
      <w:r w:rsidRPr="00C04C4B">
        <w:rPr>
          <w:rFonts w:ascii="Garamond" w:hAnsi="Garamond"/>
          <w:lang w:val="es-CO"/>
        </w:rPr>
        <w:t>Este plazo contempla la totalidad de las actividades de seguimiento, control, verificación, elaboración de informes y cierre contractual, garantizando una supervisión continua durante todas las fases del proyecto.</w:t>
      </w:r>
    </w:p>
    <w:p w14:paraId="7DDED086" w14:textId="1552FA87" w:rsidR="002A6D51" w:rsidRPr="00C04C4B" w:rsidRDefault="002A6D51" w:rsidP="001C3E26">
      <w:pPr>
        <w:widowControl/>
        <w:spacing w:before="100" w:beforeAutospacing="1" w:after="100" w:afterAutospacing="1"/>
        <w:jc w:val="both"/>
        <w:rPr>
          <w:rFonts w:ascii="Garamond" w:hAnsi="Garamond"/>
          <w:lang w:val="es-CO"/>
        </w:rPr>
      </w:pPr>
      <w:r w:rsidRPr="00C04C4B">
        <w:rPr>
          <w:rFonts w:ascii="Garamond" w:hAnsi="Garamond"/>
          <w:lang w:val="es-CO"/>
        </w:rPr>
        <w:t>El cronograma de la interventoría deberá estructurarse en las siguientes fases y actividades principales:</w:t>
      </w:r>
    </w:p>
    <w:p w14:paraId="67F29179" w14:textId="77777777" w:rsidR="002A6D51" w:rsidRPr="00C04C4B" w:rsidRDefault="002A6D51" w:rsidP="00A23238">
      <w:pPr>
        <w:widowControl/>
        <w:numPr>
          <w:ilvl w:val="0"/>
          <w:numId w:val="16"/>
        </w:numPr>
        <w:spacing w:before="100" w:beforeAutospacing="1" w:after="100" w:afterAutospacing="1"/>
        <w:jc w:val="both"/>
        <w:rPr>
          <w:rFonts w:ascii="Garamond" w:hAnsi="Garamond"/>
          <w:lang w:val="es-CO"/>
        </w:rPr>
      </w:pPr>
      <w:r w:rsidRPr="00C04C4B">
        <w:rPr>
          <w:rFonts w:ascii="Garamond" w:hAnsi="Garamond"/>
          <w:lang w:val="es-CO"/>
        </w:rPr>
        <w:t>Fase de alistamiento (Semana 1 a Semana 2):</w:t>
      </w:r>
    </w:p>
    <w:p w14:paraId="5FC3C544" w14:textId="77777777" w:rsidR="002A6D51" w:rsidRPr="00C04C4B" w:rsidRDefault="002A6D51" w:rsidP="00A23238">
      <w:pPr>
        <w:widowControl/>
        <w:numPr>
          <w:ilvl w:val="1"/>
          <w:numId w:val="16"/>
        </w:numPr>
        <w:spacing w:before="100" w:beforeAutospacing="1" w:after="100" w:afterAutospacing="1"/>
        <w:jc w:val="both"/>
        <w:rPr>
          <w:rFonts w:ascii="Garamond" w:hAnsi="Garamond"/>
          <w:lang w:val="es-CO"/>
        </w:rPr>
      </w:pPr>
      <w:r w:rsidRPr="00C04C4B">
        <w:rPr>
          <w:rFonts w:ascii="Garamond" w:hAnsi="Garamond"/>
          <w:lang w:val="es-CO"/>
        </w:rPr>
        <w:t>Revisión de documentos contractuales del contrato de obra.</w:t>
      </w:r>
    </w:p>
    <w:p w14:paraId="7473BAA2" w14:textId="77777777" w:rsidR="002A6D51" w:rsidRPr="00C04C4B" w:rsidRDefault="002A6D51" w:rsidP="00A23238">
      <w:pPr>
        <w:widowControl/>
        <w:numPr>
          <w:ilvl w:val="1"/>
          <w:numId w:val="16"/>
        </w:numPr>
        <w:spacing w:before="100" w:beforeAutospacing="1" w:after="100" w:afterAutospacing="1"/>
        <w:jc w:val="both"/>
        <w:rPr>
          <w:rFonts w:ascii="Garamond" w:hAnsi="Garamond"/>
          <w:lang w:val="es-CO"/>
        </w:rPr>
      </w:pPr>
      <w:r w:rsidRPr="00C04C4B">
        <w:rPr>
          <w:rFonts w:ascii="Garamond" w:hAnsi="Garamond"/>
          <w:lang w:val="es-CO"/>
        </w:rPr>
        <w:t>Aprobación de garantías y plan de trabajo de la interventoría.</w:t>
      </w:r>
    </w:p>
    <w:p w14:paraId="16CBDF80" w14:textId="77777777" w:rsidR="002A6D51" w:rsidRPr="00C04C4B" w:rsidRDefault="002A6D51" w:rsidP="00A23238">
      <w:pPr>
        <w:widowControl/>
        <w:numPr>
          <w:ilvl w:val="1"/>
          <w:numId w:val="16"/>
        </w:numPr>
        <w:spacing w:before="100" w:beforeAutospacing="1" w:after="100" w:afterAutospacing="1"/>
        <w:jc w:val="both"/>
        <w:rPr>
          <w:rFonts w:ascii="Garamond" w:hAnsi="Garamond"/>
          <w:lang w:val="es-CO"/>
        </w:rPr>
      </w:pPr>
      <w:r w:rsidRPr="00C04C4B">
        <w:rPr>
          <w:rFonts w:ascii="Garamond" w:hAnsi="Garamond"/>
          <w:lang w:val="es-CO"/>
        </w:rPr>
        <w:t>Levantamiento de información inicial y reconocimiento de los frentes de intervención.</w:t>
      </w:r>
    </w:p>
    <w:p w14:paraId="2649F4B6" w14:textId="77777777" w:rsidR="002A6D51" w:rsidRPr="00C04C4B" w:rsidRDefault="002A6D51" w:rsidP="00A23238">
      <w:pPr>
        <w:widowControl/>
        <w:numPr>
          <w:ilvl w:val="1"/>
          <w:numId w:val="16"/>
        </w:numPr>
        <w:spacing w:before="100" w:beforeAutospacing="1" w:after="100" w:afterAutospacing="1"/>
        <w:jc w:val="both"/>
        <w:rPr>
          <w:rFonts w:ascii="Garamond" w:hAnsi="Garamond"/>
          <w:lang w:val="es-CO"/>
        </w:rPr>
      </w:pPr>
      <w:r w:rsidRPr="00C04C4B">
        <w:rPr>
          <w:rFonts w:ascii="Garamond" w:hAnsi="Garamond"/>
          <w:lang w:val="es-CO"/>
        </w:rPr>
        <w:t>Entrega del informe de inicio.</w:t>
      </w:r>
    </w:p>
    <w:p w14:paraId="7E3DC155" w14:textId="77777777" w:rsidR="002A6D51" w:rsidRPr="00C04C4B" w:rsidRDefault="002A6D51" w:rsidP="00A23238">
      <w:pPr>
        <w:widowControl/>
        <w:numPr>
          <w:ilvl w:val="0"/>
          <w:numId w:val="16"/>
        </w:numPr>
        <w:spacing w:before="100" w:beforeAutospacing="1" w:after="100" w:afterAutospacing="1"/>
        <w:jc w:val="both"/>
        <w:rPr>
          <w:rFonts w:ascii="Garamond" w:hAnsi="Garamond"/>
          <w:lang w:val="es-CO"/>
        </w:rPr>
      </w:pPr>
      <w:r w:rsidRPr="00C04C4B">
        <w:rPr>
          <w:rFonts w:ascii="Garamond" w:hAnsi="Garamond"/>
          <w:lang w:val="es-CO"/>
        </w:rPr>
        <w:t>Fase de seguimiento técnico, administrativo, jurídico y financiero (Mes 1 a Mes 4):</w:t>
      </w:r>
    </w:p>
    <w:p w14:paraId="222EC434" w14:textId="77777777" w:rsidR="002A6D51" w:rsidRPr="00C04C4B" w:rsidRDefault="002A6D51" w:rsidP="00A23238">
      <w:pPr>
        <w:widowControl/>
        <w:numPr>
          <w:ilvl w:val="1"/>
          <w:numId w:val="16"/>
        </w:numPr>
        <w:spacing w:before="100" w:beforeAutospacing="1" w:after="100" w:afterAutospacing="1"/>
        <w:jc w:val="both"/>
        <w:rPr>
          <w:rFonts w:ascii="Garamond" w:hAnsi="Garamond"/>
          <w:lang w:val="es-CO"/>
        </w:rPr>
      </w:pPr>
      <w:r w:rsidRPr="00C04C4B">
        <w:rPr>
          <w:rFonts w:ascii="Garamond" w:hAnsi="Garamond"/>
          <w:lang w:val="es-CO"/>
        </w:rPr>
        <w:t>Acompañamiento y verificación de las actividades de obra programadas en los parques priorizados.</w:t>
      </w:r>
    </w:p>
    <w:p w14:paraId="7729CF23" w14:textId="77777777" w:rsidR="002A6D51" w:rsidRPr="00C04C4B" w:rsidRDefault="002A6D51" w:rsidP="00A23238">
      <w:pPr>
        <w:widowControl/>
        <w:numPr>
          <w:ilvl w:val="1"/>
          <w:numId w:val="16"/>
        </w:numPr>
        <w:spacing w:before="100" w:beforeAutospacing="1" w:after="100" w:afterAutospacing="1"/>
        <w:jc w:val="both"/>
        <w:rPr>
          <w:rFonts w:ascii="Garamond" w:hAnsi="Garamond"/>
          <w:lang w:val="es-CO"/>
        </w:rPr>
      </w:pPr>
      <w:r w:rsidRPr="00C04C4B">
        <w:rPr>
          <w:rFonts w:ascii="Garamond" w:hAnsi="Garamond"/>
          <w:lang w:val="es-CO"/>
        </w:rPr>
        <w:t>Validación periódica del avance físico frente al cronograma de obra.</w:t>
      </w:r>
    </w:p>
    <w:p w14:paraId="19FC6029" w14:textId="77777777" w:rsidR="002A6D51" w:rsidRPr="00C04C4B" w:rsidRDefault="002A6D51" w:rsidP="00A23238">
      <w:pPr>
        <w:widowControl/>
        <w:numPr>
          <w:ilvl w:val="1"/>
          <w:numId w:val="16"/>
        </w:numPr>
        <w:spacing w:before="100" w:beforeAutospacing="1" w:after="100" w:afterAutospacing="1"/>
        <w:jc w:val="both"/>
        <w:rPr>
          <w:rFonts w:ascii="Garamond" w:hAnsi="Garamond"/>
          <w:lang w:val="es-CO"/>
        </w:rPr>
      </w:pPr>
      <w:r w:rsidRPr="00C04C4B">
        <w:rPr>
          <w:rFonts w:ascii="Garamond" w:hAnsi="Garamond"/>
          <w:lang w:val="es-CO"/>
        </w:rPr>
        <w:t>Revisión y aval de cuentas y actas de pago del contratista de obra.</w:t>
      </w:r>
    </w:p>
    <w:p w14:paraId="0201D4D9" w14:textId="77777777" w:rsidR="002A6D51" w:rsidRPr="00C04C4B" w:rsidRDefault="002A6D51" w:rsidP="00A23238">
      <w:pPr>
        <w:widowControl/>
        <w:numPr>
          <w:ilvl w:val="1"/>
          <w:numId w:val="16"/>
        </w:numPr>
        <w:spacing w:before="100" w:beforeAutospacing="1" w:after="100" w:afterAutospacing="1"/>
        <w:jc w:val="both"/>
        <w:rPr>
          <w:rFonts w:ascii="Garamond" w:hAnsi="Garamond"/>
          <w:lang w:val="es-CO"/>
        </w:rPr>
      </w:pPr>
      <w:r w:rsidRPr="00C04C4B">
        <w:rPr>
          <w:rFonts w:ascii="Garamond" w:hAnsi="Garamond"/>
          <w:lang w:val="es-CO"/>
        </w:rPr>
        <w:lastRenderedPageBreak/>
        <w:t>Elaboración y presentación de informes mensuales de interventoría.</w:t>
      </w:r>
    </w:p>
    <w:p w14:paraId="1B4F350B" w14:textId="77777777" w:rsidR="002A6D51" w:rsidRPr="00C04C4B" w:rsidRDefault="002A6D51" w:rsidP="00A23238">
      <w:pPr>
        <w:widowControl/>
        <w:numPr>
          <w:ilvl w:val="1"/>
          <w:numId w:val="16"/>
        </w:numPr>
        <w:spacing w:before="100" w:beforeAutospacing="1" w:after="100" w:afterAutospacing="1"/>
        <w:jc w:val="both"/>
        <w:rPr>
          <w:rFonts w:ascii="Garamond" w:hAnsi="Garamond"/>
          <w:lang w:val="es-CO"/>
        </w:rPr>
      </w:pPr>
      <w:r w:rsidRPr="00C04C4B">
        <w:rPr>
          <w:rFonts w:ascii="Garamond" w:hAnsi="Garamond"/>
          <w:lang w:val="es-CO"/>
        </w:rPr>
        <w:t>Verificación de cumplimiento de obligaciones ambientales, de seguridad y sociales.</w:t>
      </w:r>
    </w:p>
    <w:p w14:paraId="48B2A0EB" w14:textId="77777777" w:rsidR="002A6D51" w:rsidRPr="00C04C4B" w:rsidRDefault="002A6D51" w:rsidP="00A23238">
      <w:pPr>
        <w:widowControl/>
        <w:numPr>
          <w:ilvl w:val="1"/>
          <w:numId w:val="16"/>
        </w:numPr>
        <w:spacing w:before="100" w:beforeAutospacing="1" w:after="100" w:afterAutospacing="1"/>
        <w:jc w:val="both"/>
        <w:rPr>
          <w:rFonts w:ascii="Garamond" w:hAnsi="Garamond"/>
          <w:lang w:val="es-CO"/>
        </w:rPr>
      </w:pPr>
      <w:r w:rsidRPr="00C04C4B">
        <w:rPr>
          <w:rFonts w:ascii="Garamond" w:hAnsi="Garamond"/>
          <w:lang w:val="es-CO"/>
        </w:rPr>
        <w:t>Registro fotográfico de las actividades ejecutadas.</w:t>
      </w:r>
    </w:p>
    <w:p w14:paraId="07D43183" w14:textId="77777777" w:rsidR="002A6D51" w:rsidRPr="00C04C4B" w:rsidRDefault="002A6D51" w:rsidP="00A23238">
      <w:pPr>
        <w:widowControl/>
        <w:numPr>
          <w:ilvl w:val="1"/>
          <w:numId w:val="16"/>
        </w:numPr>
        <w:spacing w:before="100" w:beforeAutospacing="1" w:after="100" w:afterAutospacing="1"/>
        <w:jc w:val="both"/>
        <w:rPr>
          <w:rFonts w:ascii="Garamond" w:hAnsi="Garamond"/>
          <w:lang w:val="es-CO"/>
        </w:rPr>
      </w:pPr>
      <w:r w:rsidRPr="00C04C4B">
        <w:rPr>
          <w:rFonts w:ascii="Garamond" w:hAnsi="Garamond"/>
          <w:lang w:val="es-CO"/>
        </w:rPr>
        <w:t xml:space="preserve">Atención de requerimientos del </w:t>
      </w:r>
      <w:proofErr w:type="spellStart"/>
      <w:r w:rsidRPr="00C04C4B">
        <w:rPr>
          <w:rFonts w:ascii="Garamond" w:hAnsi="Garamond"/>
          <w:lang w:val="es-CO"/>
        </w:rPr>
        <w:t>FDL</w:t>
      </w:r>
      <w:proofErr w:type="spellEnd"/>
      <w:r w:rsidRPr="00C04C4B">
        <w:rPr>
          <w:rFonts w:ascii="Garamond" w:hAnsi="Garamond"/>
          <w:lang w:val="es-CO"/>
        </w:rPr>
        <w:t>.</w:t>
      </w:r>
    </w:p>
    <w:p w14:paraId="727C35C5" w14:textId="7BB39D36" w:rsidR="002A6D51" w:rsidRPr="00C04C4B" w:rsidRDefault="002A6D51" w:rsidP="00A23238">
      <w:pPr>
        <w:widowControl/>
        <w:numPr>
          <w:ilvl w:val="0"/>
          <w:numId w:val="16"/>
        </w:numPr>
        <w:spacing w:before="100" w:beforeAutospacing="1" w:after="100" w:afterAutospacing="1"/>
        <w:jc w:val="both"/>
        <w:rPr>
          <w:rFonts w:ascii="Garamond" w:hAnsi="Garamond"/>
          <w:lang w:val="es-CO"/>
        </w:rPr>
      </w:pPr>
      <w:r w:rsidRPr="00C04C4B">
        <w:rPr>
          <w:rFonts w:ascii="Garamond" w:hAnsi="Garamond"/>
          <w:lang w:val="es-CO"/>
        </w:rPr>
        <w:t>Fase de cierre y liquidación</w:t>
      </w:r>
    </w:p>
    <w:p w14:paraId="2227B5D6" w14:textId="77777777" w:rsidR="002A6D51" w:rsidRPr="00C04C4B" w:rsidRDefault="002A6D51" w:rsidP="00A23238">
      <w:pPr>
        <w:widowControl/>
        <w:numPr>
          <w:ilvl w:val="1"/>
          <w:numId w:val="16"/>
        </w:numPr>
        <w:spacing w:before="100" w:beforeAutospacing="1" w:after="100" w:afterAutospacing="1"/>
        <w:jc w:val="both"/>
        <w:rPr>
          <w:rFonts w:ascii="Garamond" w:hAnsi="Garamond"/>
          <w:lang w:val="es-CO"/>
        </w:rPr>
      </w:pPr>
      <w:r w:rsidRPr="00C04C4B">
        <w:rPr>
          <w:rFonts w:ascii="Garamond" w:hAnsi="Garamond"/>
          <w:lang w:val="es-CO"/>
        </w:rPr>
        <w:t>Verificación del cierre técnico y documental del contrato de obra.</w:t>
      </w:r>
    </w:p>
    <w:p w14:paraId="6877A28A" w14:textId="77777777" w:rsidR="002A6D51" w:rsidRPr="00C04C4B" w:rsidRDefault="002A6D51" w:rsidP="00A23238">
      <w:pPr>
        <w:widowControl/>
        <w:numPr>
          <w:ilvl w:val="1"/>
          <w:numId w:val="16"/>
        </w:numPr>
        <w:spacing w:before="100" w:beforeAutospacing="1" w:after="100" w:afterAutospacing="1"/>
        <w:jc w:val="both"/>
        <w:rPr>
          <w:rFonts w:ascii="Garamond" w:hAnsi="Garamond"/>
          <w:lang w:val="es-CO"/>
        </w:rPr>
      </w:pPr>
      <w:r w:rsidRPr="00C04C4B">
        <w:rPr>
          <w:rFonts w:ascii="Garamond" w:hAnsi="Garamond"/>
          <w:lang w:val="es-CO"/>
        </w:rPr>
        <w:t>Consolidación de soportes de seguimiento.</w:t>
      </w:r>
    </w:p>
    <w:p w14:paraId="50A37321" w14:textId="77777777" w:rsidR="002A6D51" w:rsidRPr="00C04C4B" w:rsidRDefault="002A6D51" w:rsidP="00A23238">
      <w:pPr>
        <w:widowControl/>
        <w:numPr>
          <w:ilvl w:val="1"/>
          <w:numId w:val="16"/>
        </w:numPr>
        <w:spacing w:before="100" w:beforeAutospacing="1" w:after="100" w:afterAutospacing="1"/>
        <w:jc w:val="both"/>
        <w:rPr>
          <w:rFonts w:ascii="Garamond" w:hAnsi="Garamond"/>
          <w:lang w:val="es-CO"/>
        </w:rPr>
      </w:pPr>
      <w:r w:rsidRPr="00C04C4B">
        <w:rPr>
          <w:rFonts w:ascii="Garamond" w:hAnsi="Garamond"/>
          <w:lang w:val="es-CO"/>
        </w:rPr>
        <w:t>Emisión del informe final de interventoría.</w:t>
      </w:r>
    </w:p>
    <w:p w14:paraId="2984A184" w14:textId="77777777" w:rsidR="002A6D51" w:rsidRPr="00C04C4B" w:rsidRDefault="002A6D51" w:rsidP="00A23238">
      <w:pPr>
        <w:widowControl/>
        <w:numPr>
          <w:ilvl w:val="1"/>
          <w:numId w:val="16"/>
        </w:numPr>
        <w:spacing w:before="100" w:beforeAutospacing="1" w:after="100" w:afterAutospacing="1"/>
        <w:jc w:val="both"/>
        <w:rPr>
          <w:rFonts w:ascii="Garamond" w:hAnsi="Garamond"/>
          <w:lang w:val="es-CO"/>
        </w:rPr>
      </w:pPr>
      <w:r w:rsidRPr="00C04C4B">
        <w:rPr>
          <w:rFonts w:ascii="Garamond" w:hAnsi="Garamond"/>
          <w:lang w:val="es-CO"/>
        </w:rPr>
        <w:t>Recomendaciones para el cierre del contrato de obra.</w:t>
      </w:r>
    </w:p>
    <w:p w14:paraId="3CF69E64" w14:textId="77777777" w:rsidR="003F7BD3" w:rsidRPr="00C04C4B" w:rsidRDefault="003F7BD3" w:rsidP="001C3E26">
      <w:pPr>
        <w:widowControl/>
        <w:spacing w:before="100" w:beforeAutospacing="1" w:after="100" w:afterAutospacing="1"/>
        <w:jc w:val="both"/>
        <w:rPr>
          <w:rFonts w:ascii="Garamond" w:hAnsi="Garamond"/>
          <w:lang w:val="es-CO"/>
        </w:rPr>
      </w:pPr>
      <w:r w:rsidRPr="00C04C4B">
        <w:rPr>
          <w:rFonts w:ascii="Garamond" w:hAnsi="Garamond"/>
          <w:lang w:val="es-CO"/>
        </w:rPr>
        <w:t>Para la adecuada ejecución del contrato de obra y el ejercicio de las labores de interventoría, deberán identificarse, gestionarse y controlarse los trámites, permisos y autorizaciones requeridos ante las entidades distritales, autoridades competentes y empresas de servicios públicos, con el fin de garantizar el cumplimiento de la normatividad vigente y evitar afectaciones al cronograma, al alcance y al presupuesto del contrato.</w:t>
      </w:r>
    </w:p>
    <w:p w14:paraId="4BC5CE7C" w14:textId="77777777" w:rsidR="003F7BD3" w:rsidRPr="00C04C4B" w:rsidRDefault="003F7BD3" w:rsidP="003F7BD3">
      <w:pPr>
        <w:pStyle w:val="Ttulo3"/>
        <w:rPr>
          <w:rFonts w:ascii="Garamond" w:eastAsia="Times New Roman" w:hAnsi="Garamond" w:cs="Times New Roman"/>
          <w:color w:val="auto"/>
          <w:sz w:val="22"/>
          <w:szCs w:val="22"/>
          <w:lang w:val="es-CO"/>
        </w:rPr>
      </w:pPr>
      <w:r w:rsidRPr="00C04C4B">
        <w:rPr>
          <w:rFonts w:ascii="Garamond" w:eastAsia="Times New Roman" w:hAnsi="Garamond" w:cs="Times New Roman"/>
          <w:color w:val="auto"/>
          <w:sz w:val="22"/>
          <w:szCs w:val="22"/>
          <w:lang w:val="es-CO"/>
        </w:rPr>
        <w:t>1. Trámites a considerar según la naturaleza del proyecto</w:t>
      </w:r>
    </w:p>
    <w:p w14:paraId="43F6AD98" w14:textId="77777777" w:rsidR="003F7BD3" w:rsidRPr="00C04C4B" w:rsidRDefault="003F7BD3" w:rsidP="003F7BD3">
      <w:pPr>
        <w:pStyle w:val="NormalWeb"/>
        <w:rPr>
          <w:rFonts w:ascii="Garamond" w:hAnsi="Garamond"/>
          <w:kern w:val="0"/>
          <w:sz w:val="22"/>
          <w:szCs w:val="22"/>
          <w:lang w:eastAsia="es-CO"/>
        </w:rPr>
      </w:pPr>
    </w:p>
    <w:p w14:paraId="7E8F4422" w14:textId="2EDF34BB" w:rsidR="003F7BD3" w:rsidRPr="00C04C4B" w:rsidRDefault="003F7BD3" w:rsidP="003F7BD3">
      <w:pPr>
        <w:pStyle w:val="NormalWeb"/>
        <w:rPr>
          <w:rFonts w:ascii="Garamond" w:hAnsi="Garamond"/>
          <w:kern w:val="0"/>
          <w:sz w:val="22"/>
          <w:szCs w:val="22"/>
          <w:lang w:eastAsia="es-CO"/>
        </w:rPr>
      </w:pPr>
      <w:r w:rsidRPr="00C04C4B">
        <w:rPr>
          <w:rFonts w:ascii="Garamond" w:hAnsi="Garamond"/>
          <w:kern w:val="0"/>
          <w:sz w:val="22"/>
          <w:szCs w:val="22"/>
          <w:lang w:eastAsia="es-CO"/>
        </w:rPr>
        <w:t>De acuerdo con las características del proyecto, se deberán considerar, entre otros, los siguientes trámites:</w:t>
      </w:r>
    </w:p>
    <w:p w14:paraId="5935CB6E" w14:textId="77777777" w:rsidR="003F7BD3" w:rsidRPr="00C04C4B" w:rsidRDefault="003F7BD3" w:rsidP="00A23238">
      <w:pPr>
        <w:widowControl/>
        <w:numPr>
          <w:ilvl w:val="0"/>
          <w:numId w:val="25"/>
        </w:numPr>
        <w:spacing w:before="100" w:beforeAutospacing="1" w:after="100" w:afterAutospacing="1"/>
        <w:rPr>
          <w:rFonts w:ascii="Garamond" w:hAnsi="Garamond"/>
          <w:lang w:val="es-CO"/>
        </w:rPr>
      </w:pPr>
      <w:r w:rsidRPr="00C04C4B">
        <w:rPr>
          <w:rFonts w:ascii="Garamond" w:hAnsi="Garamond"/>
          <w:lang w:val="es-CO"/>
        </w:rPr>
        <w:t>Aprobación del Plan de Manejo de Tráfico (</w:t>
      </w:r>
      <w:proofErr w:type="spellStart"/>
      <w:r w:rsidRPr="00C04C4B">
        <w:rPr>
          <w:rFonts w:ascii="Garamond" w:hAnsi="Garamond"/>
          <w:lang w:val="es-CO"/>
        </w:rPr>
        <w:t>PMT</w:t>
      </w:r>
      <w:proofErr w:type="spellEnd"/>
      <w:r w:rsidRPr="00C04C4B">
        <w:rPr>
          <w:rFonts w:ascii="Garamond" w:hAnsi="Garamond"/>
          <w:lang w:val="es-CO"/>
        </w:rPr>
        <w:t xml:space="preserve">) ante la Secretaría Distrital de Movilidad, cuando las actividades impliquen ocupación de espacio público o afectación temporal de la movilidad peatonal o vehicular. </w:t>
      </w:r>
    </w:p>
    <w:p w14:paraId="7FCA1732" w14:textId="77777777" w:rsidR="003F7BD3" w:rsidRPr="00C04C4B" w:rsidRDefault="003F7BD3" w:rsidP="00A23238">
      <w:pPr>
        <w:widowControl/>
        <w:numPr>
          <w:ilvl w:val="0"/>
          <w:numId w:val="25"/>
        </w:numPr>
        <w:spacing w:before="100" w:beforeAutospacing="1" w:after="100" w:afterAutospacing="1"/>
        <w:rPr>
          <w:rFonts w:ascii="Garamond" w:hAnsi="Garamond"/>
          <w:lang w:val="es-CO"/>
        </w:rPr>
      </w:pPr>
      <w:r w:rsidRPr="00C04C4B">
        <w:rPr>
          <w:rFonts w:ascii="Garamond" w:hAnsi="Garamond"/>
          <w:lang w:val="es-CO"/>
        </w:rPr>
        <w:t>Permisos y autorizaciones ambientales ante la Secretaría Distrital de Ambiente (</w:t>
      </w:r>
      <w:proofErr w:type="spellStart"/>
      <w:r w:rsidRPr="00C04C4B">
        <w:rPr>
          <w:rFonts w:ascii="Garamond" w:hAnsi="Garamond"/>
          <w:lang w:val="es-CO"/>
        </w:rPr>
        <w:t>SDA</w:t>
      </w:r>
      <w:proofErr w:type="spellEnd"/>
      <w:r w:rsidRPr="00C04C4B">
        <w:rPr>
          <w:rFonts w:ascii="Garamond" w:hAnsi="Garamond"/>
          <w:lang w:val="es-CO"/>
        </w:rPr>
        <w:t xml:space="preserve">), cuando se requiera manejo de residuos de construcción y demolición, intervención de cobertura vegetal, traslado de especies o mitigación de impactos ambientales. </w:t>
      </w:r>
    </w:p>
    <w:p w14:paraId="06E8CA03" w14:textId="77777777" w:rsidR="003F7BD3" w:rsidRPr="00C04C4B" w:rsidRDefault="003F7BD3" w:rsidP="00A23238">
      <w:pPr>
        <w:widowControl/>
        <w:numPr>
          <w:ilvl w:val="0"/>
          <w:numId w:val="25"/>
        </w:numPr>
        <w:spacing w:before="100" w:beforeAutospacing="1" w:after="100" w:afterAutospacing="1"/>
        <w:rPr>
          <w:rFonts w:ascii="Garamond" w:hAnsi="Garamond"/>
          <w:lang w:val="es-CO"/>
        </w:rPr>
      </w:pPr>
      <w:r w:rsidRPr="00C04C4B">
        <w:rPr>
          <w:rFonts w:ascii="Garamond" w:hAnsi="Garamond"/>
          <w:lang w:val="es-CO"/>
        </w:rPr>
        <w:t xml:space="preserve">Coordinación y gestión de interferencias con redes de servicios públicos y mobiliario urbano, en caso de interacción con infraestructura existente de entidades como empresas de energía, acueducto, telecomunicaciones, gas o entidades distritales. </w:t>
      </w:r>
    </w:p>
    <w:p w14:paraId="2B9A777C" w14:textId="77777777" w:rsidR="003F7BD3" w:rsidRPr="00C04C4B" w:rsidRDefault="003F7BD3" w:rsidP="00A23238">
      <w:pPr>
        <w:widowControl/>
        <w:numPr>
          <w:ilvl w:val="0"/>
          <w:numId w:val="25"/>
        </w:numPr>
        <w:spacing w:before="100" w:beforeAutospacing="1" w:after="100" w:afterAutospacing="1"/>
        <w:rPr>
          <w:rFonts w:ascii="Garamond" w:hAnsi="Garamond"/>
          <w:lang w:val="es-CO"/>
        </w:rPr>
      </w:pPr>
      <w:r w:rsidRPr="00C04C4B">
        <w:rPr>
          <w:rFonts w:ascii="Garamond" w:hAnsi="Garamond"/>
          <w:lang w:val="es-CO"/>
        </w:rPr>
        <w:t xml:space="preserve">Permisos para ocupación temporal de espacio público, en caso de requerirse áreas para acopio de materiales, ubicación de maquinaria o desarrollo de actividades constructivas. </w:t>
      </w:r>
    </w:p>
    <w:p w14:paraId="5FE691D5" w14:textId="77777777" w:rsidR="003F7BD3" w:rsidRPr="00C04C4B" w:rsidRDefault="003F7BD3" w:rsidP="00A23238">
      <w:pPr>
        <w:widowControl/>
        <w:numPr>
          <w:ilvl w:val="0"/>
          <w:numId w:val="25"/>
        </w:numPr>
        <w:spacing w:before="100" w:beforeAutospacing="1" w:after="100" w:afterAutospacing="1"/>
        <w:rPr>
          <w:rFonts w:ascii="Garamond" w:hAnsi="Garamond"/>
          <w:lang w:val="es-CO"/>
        </w:rPr>
      </w:pPr>
      <w:r w:rsidRPr="00C04C4B">
        <w:rPr>
          <w:rFonts w:ascii="Garamond" w:hAnsi="Garamond"/>
          <w:lang w:val="es-CO"/>
        </w:rPr>
        <w:t>Trámites y autorizaciones ante el Instituto Distrital de Recreación y Deporte (</w:t>
      </w:r>
      <w:proofErr w:type="spellStart"/>
      <w:r w:rsidRPr="00C04C4B">
        <w:rPr>
          <w:rFonts w:ascii="Garamond" w:hAnsi="Garamond"/>
          <w:lang w:val="es-CO"/>
        </w:rPr>
        <w:t>IDRD</w:t>
      </w:r>
      <w:proofErr w:type="spellEnd"/>
      <w:r w:rsidRPr="00C04C4B">
        <w:rPr>
          <w:rFonts w:ascii="Garamond" w:hAnsi="Garamond"/>
          <w:lang w:val="es-CO"/>
        </w:rPr>
        <w:t>), cuando el proyecto involucre intervención sobre bienes bajo su administración o regulación.</w:t>
      </w:r>
    </w:p>
    <w:p w14:paraId="53C361FD" w14:textId="77777777" w:rsidR="003F7BD3" w:rsidRPr="00C04C4B" w:rsidRDefault="003F7BD3" w:rsidP="003F7BD3">
      <w:pPr>
        <w:pStyle w:val="Ttulo3"/>
        <w:rPr>
          <w:rFonts w:ascii="Garamond" w:eastAsia="Times New Roman" w:hAnsi="Garamond" w:cs="Times New Roman"/>
          <w:color w:val="auto"/>
          <w:sz w:val="22"/>
          <w:szCs w:val="22"/>
          <w:lang w:val="es-CO"/>
        </w:rPr>
      </w:pPr>
      <w:r w:rsidRPr="00C04C4B">
        <w:rPr>
          <w:rFonts w:ascii="Garamond" w:eastAsia="Times New Roman" w:hAnsi="Garamond" w:cs="Times New Roman"/>
          <w:color w:val="auto"/>
          <w:sz w:val="22"/>
          <w:szCs w:val="22"/>
          <w:lang w:val="es-CO"/>
        </w:rPr>
        <w:t>2. Distribución de responsabilidades</w:t>
      </w:r>
    </w:p>
    <w:p w14:paraId="09930A32" w14:textId="77777777" w:rsidR="003F7BD3" w:rsidRPr="00C04C4B" w:rsidRDefault="003F7BD3" w:rsidP="00A23238">
      <w:pPr>
        <w:widowControl/>
        <w:numPr>
          <w:ilvl w:val="0"/>
          <w:numId w:val="26"/>
        </w:numPr>
        <w:spacing w:before="100" w:beforeAutospacing="1" w:after="100" w:afterAutospacing="1"/>
        <w:rPr>
          <w:rFonts w:ascii="Garamond" w:hAnsi="Garamond"/>
          <w:lang w:val="es-CO"/>
        </w:rPr>
      </w:pPr>
      <w:r w:rsidRPr="00C04C4B">
        <w:rPr>
          <w:rFonts w:ascii="Garamond" w:hAnsi="Garamond"/>
          <w:lang w:val="es-CO"/>
        </w:rPr>
        <w:t xml:space="preserve">El Fondo de Desarrollo Local deberá identificar en la etapa de planeación los trámites aplicables y las entidades competentes, incorporando dicha información en los documentos contractuales como insumo para la ejecución del proyecto. </w:t>
      </w:r>
    </w:p>
    <w:p w14:paraId="68FAC720" w14:textId="77777777" w:rsidR="003F7BD3" w:rsidRPr="00C04C4B" w:rsidRDefault="003F7BD3" w:rsidP="00A23238">
      <w:pPr>
        <w:widowControl/>
        <w:numPr>
          <w:ilvl w:val="0"/>
          <w:numId w:val="26"/>
        </w:numPr>
        <w:spacing w:before="100" w:beforeAutospacing="1" w:after="100" w:afterAutospacing="1"/>
        <w:rPr>
          <w:rFonts w:ascii="Garamond" w:hAnsi="Garamond"/>
          <w:lang w:val="es-CO"/>
        </w:rPr>
      </w:pPr>
      <w:r w:rsidRPr="00C04C4B">
        <w:rPr>
          <w:rFonts w:ascii="Garamond" w:hAnsi="Garamond"/>
          <w:lang w:val="es-CO"/>
        </w:rPr>
        <w:lastRenderedPageBreak/>
        <w:t xml:space="preserve">El contratista de obra será responsable de gestionar, obtener, mantener vigentes y cumplir los permisos, licencias, autorizaciones y planes requeridos, dentro de los plazos establecidos y conforme a las condiciones técnicas y normativas aplicables. </w:t>
      </w:r>
    </w:p>
    <w:p w14:paraId="77B601D8" w14:textId="77777777" w:rsidR="003F7BD3" w:rsidRPr="00C04C4B" w:rsidRDefault="003F7BD3" w:rsidP="00A23238">
      <w:pPr>
        <w:widowControl/>
        <w:numPr>
          <w:ilvl w:val="0"/>
          <w:numId w:val="26"/>
        </w:numPr>
        <w:spacing w:before="100" w:beforeAutospacing="1" w:after="100" w:afterAutospacing="1"/>
        <w:rPr>
          <w:rFonts w:ascii="Garamond" w:hAnsi="Garamond"/>
          <w:lang w:val="es-CO"/>
        </w:rPr>
      </w:pPr>
      <w:r w:rsidRPr="00C04C4B">
        <w:rPr>
          <w:rFonts w:ascii="Garamond" w:hAnsi="Garamond"/>
          <w:lang w:val="es-CO"/>
        </w:rPr>
        <w:t>La interventoría deberá verificar de manera permanente la obtención, vigencia y cumplimiento de estos trámites, dejando constancia en los informes periódicos y requiriendo oportunamente las acciones correctivas cuando se evidencien incumplimientos o riesgos asociados.</w:t>
      </w:r>
    </w:p>
    <w:p w14:paraId="7D3D85AA" w14:textId="77777777" w:rsidR="003F7BD3" w:rsidRPr="00C04C4B" w:rsidRDefault="003F7BD3" w:rsidP="003F7BD3">
      <w:pPr>
        <w:pStyle w:val="Ttulo3"/>
        <w:rPr>
          <w:rFonts w:ascii="Garamond" w:eastAsia="Times New Roman" w:hAnsi="Garamond" w:cs="Times New Roman"/>
          <w:color w:val="auto"/>
          <w:sz w:val="22"/>
          <w:szCs w:val="22"/>
          <w:lang w:val="es-CO"/>
        </w:rPr>
      </w:pPr>
      <w:r w:rsidRPr="00C04C4B">
        <w:rPr>
          <w:rFonts w:ascii="Garamond" w:eastAsia="Times New Roman" w:hAnsi="Garamond" w:cs="Times New Roman"/>
          <w:color w:val="auto"/>
          <w:sz w:val="22"/>
          <w:szCs w:val="22"/>
          <w:lang w:val="es-CO"/>
        </w:rPr>
        <w:t>3. Incorporación en la planeación financiera</w:t>
      </w:r>
    </w:p>
    <w:p w14:paraId="2F88D1A3" w14:textId="77777777" w:rsidR="003F7BD3" w:rsidRPr="00C04C4B" w:rsidRDefault="003F7BD3" w:rsidP="003F7BD3">
      <w:pPr>
        <w:pStyle w:val="NormalWeb"/>
        <w:rPr>
          <w:rFonts w:ascii="Garamond" w:hAnsi="Garamond"/>
          <w:kern w:val="0"/>
          <w:sz w:val="22"/>
          <w:szCs w:val="22"/>
          <w:lang w:eastAsia="es-CO"/>
        </w:rPr>
      </w:pPr>
    </w:p>
    <w:p w14:paraId="3C3DBAC7" w14:textId="43305064" w:rsidR="003F7BD3" w:rsidRPr="00C04C4B" w:rsidRDefault="003F7BD3" w:rsidP="003F7BD3">
      <w:pPr>
        <w:pStyle w:val="NormalWeb"/>
        <w:rPr>
          <w:rFonts w:ascii="Garamond" w:hAnsi="Garamond"/>
          <w:kern w:val="0"/>
          <w:sz w:val="22"/>
          <w:szCs w:val="22"/>
          <w:lang w:eastAsia="es-CO"/>
        </w:rPr>
      </w:pPr>
      <w:r w:rsidRPr="00C04C4B">
        <w:rPr>
          <w:rFonts w:ascii="Garamond" w:hAnsi="Garamond"/>
          <w:kern w:val="0"/>
          <w:sz w:val="22"/>
          <w:szCs w:val="22"/>
          <w:lang w:eastAsia="es-CO"/>
        </w:rPr>
        <w:t>Los costos asociados a la gestión de permisos, trámites y autorizaciones deberán estar contemplados dentro del presupuesto del contrato de obra, con el fin de evitar reclamaciones económicas, sobrecosto</w:t>
      </w:r>
      <w:r w:rsidRPr="00C04C4B">
        <w:rPr>
          <w:rFonts w:ascii="Garamond" w:hAnsi="Garamond"/>
          <w:kern w:val="0"/>
          <w:sz w:val="22"/>
          <w:szCs w:val="22"/>
          <w:lang w:eastAsia="es-CO"/>
        </w:rPr>
        <w:t>s</w:t>
      </w:r>
      <w:r w:rsidRPr="00C04C4B">
        <w:rPr>
          <w:rFonts w:ascii="Garamond" w:hAnsi="Garamond"/>
          <w:kern w:val="0"/>
          <w:sz w:val="22"/>
          <w:szCs w:val="22"/>
          <w:lang w:eastAsia="es-CO"/>
        </w:rPr>
        <w:t>.</w:t>
      </w:r>
    </w:p>
    <w:p w14:paraId="685B6525" w14:textId="77777777" w:rsidR="003F7BD3" w:rsidRPr="00C04C4B" w:rsidRDefault="003F7BD3" w:rsidP="003F7BD3">
      <w:pPr>
        <w:pStyle w:val="NormalWeb"/>
        <w:rPr>
          <w:rFonts w:ascii="Garamond" w:hAnsi="Garamond"/>
          <w:kern w:val="0"/>
          <w:sz w:val="22"/>
          <w:szCs w:val="22"/>
          <w:lang w:eastAsia="es-CO"/>
        </w:rPr>
      </w:pPr>
    </w:p>
    <w:p w14:paraId="4630B9F3" w14:textId="77777777" w:rsidR="003F7BD3" w:rsidRPr="00C04C4B" w:rsidRDefault="003F7BD3" w:rsidP="003F7BD3">
      <w:pPr>
        <w:pStyle w:val="Ttulo3"/>
        <w:rPr>
          <w:rFonts w:ascii="Garamond" w:eastAsia="Times New Roman" w:hAnsi="Garamond" w:cs="Times New Roman"/>
          <w:color w:val="auto"/>
          <w:sz w:val="22"/>
          <w:szCs w:val="22"/>
          <w:lang w:val="es-CO"/>
        </w:rPr>
      </w:pPr>
      <w:r w:rsidRPr="00C04C4B">
        <w:rPr>
          <w:rFonts w:ascii="Garamond" w:eastAsia="Times New Roman" w:hAnsi="Garamond" w:cs="Times New Roman"/>
          <w:color w:val="auto"/>
          <w:sz w:val="22"/>
          <w:szCs w:val="22"/>
          <w:lang w:val="es-CO"/>
        </w:rPr>
        <w:t>4. Control y trazabilidad</w:t>
      </w:r>
    </w:p>
    <w:p w14:paraId="72595FD5" w14:textId="77777777" w:rsidR="003F7BD3" w:rsidRPr="00C04C4B" w:rsidRDefault="003F7BD3" w:rsidP="003F7BD3">
      <w:pPr>
        <w:pStyle w:val="NormalWeb"/>
        <w:rPr>
          <w:rFonts w:ascii="Garamond" w:hAnsi="Garamond"/>
          <w:kern w:val="0"/>
          <w:sz w:val="22"/>
          <w:szCs w:val="22"/>
          <w:lang w:eastAsia="es-CO"/>
        </w:rPr>
      </w:pPr>
    </w:p>
    <w:p w14:paraId="565A700D" w14:textId="69BE576D" w:rsidR="003F7BD3" w:rsidRPr="00C04C4B" w:rsidRDefault="003F7BD3" w:rsidP="003F7BD3">
      <w:pPr>
        <w:pStyle w:val="NormalWeb"/>
        <w:rPr>
          <w:rFonts w:ascii="Garamond" w:hAnsi="Garamond"/>
          <w:kern w:val="0"/>
          <w:sz w:val="22"/>
          <w:szCs w:val="22"/>
          <w:lang w:eastAsia="es-CO"/>
        </w:rPr>
      </w:pPr>
      <w:r w:rsidRPr="00C04C4B">
        <w:rPr>
          <w:rFonts w:ascii="Garamond" w:hAnsi="Garamond"/>
          <w:kern w:val="0"/>
          <w:sz w:val="22"/>
          <w:szCs w:val="22"/>
          <w:lang w:eastAsia="es-CO"/>
        </w:rPr>
        <w:t>La identificación y seguimiento de estos trámites constituirá un elemento de control obligatorio dentro de las funciones de la interventoría, la cual deberá garantizar la trazabilidad documental de cada gestión realizada, así como su correspondencia con las actividades ejecutadas en obra.</w:t>
      </w:r>
    </w:p>
    <w:p w14:paraId="462CE3EA" w14:textId="77777777" w:rsidR="003F7BD3" w:rsidRPr="00C04C4B" w:rsidRDefault="003F7BD3" w:rsidP="003F7BD3">
      <w:pPr>
        <w:pStyle w:val="NormalWeb"/>
        <w:rPr>
          <w:rFonts w:ascii="Garamond" w:hAnsi="Garamond"/>
          <w:kern w:val="0"/>
          <w:sz w:val="22"/>
          <w:szCs w:val="22"/>
          <w:lang w:eastAsia="es-CO"/>
        </w:rPr>
      </w:pPr>
    </w:p>
    <w:p w14:paraId="66897537" w14:textId="77777777" w:rsidR="003F7BD3" w:rsidRPr="00C04C4B" w:rsidRDefault="003F7BD3" w:rsidP="003F7BD3">
      <w:pPr>
        <w:pStyle w:val="NormalWeb"/>
        <w:rPr>
          <w:rFonts w:ascii="Garamond" w:hAnsi="Garamond"/>
          <w:kern w:val="0"/>
          <w:sz w:val="22"/>
          <w:szCs w:val="22"/>
          <w:lang w:eastAsia="es-CO"/>
        </w:rPr>
      </w:pPr>
      <w:r w:rsidRPr="00C04C4B">
        <w:rPr>
          <w:rFonts w:ascii="Garamond" w:hAnsi="Garamond"/>
          <w:kern w:val="0"/>
          <w:sz w:val="22"/>
          <w:szCs w:val="22"/>
          <w:lang w:eastAsia="es-CO"/>
        </w:rPr>
        <w:t>El incumplimiento en la obtención o gestión de permisos podrá generar afectaciones en el cronograma del proyecto, riesgos contractuales y posibles sanciones por parte de las autoridades competentes, razón por la cual su control constituye un aspecto crítico dentro del seguimiento integral del contrato.</w:t>
      </w:r>
    </w:p>
    <w:p w14:paraId="770A7F8C" w14:textId="5C273293" w:rsidR="00120AD9" w:rsidRPr="00C04C4B" w:rsidRDefault="00120AD9" w:rsidP="001C3E26">
      <w:pPr>
        <w:widowControl/>
        <w:spacing w:before="100" w:beforeAutospacing="1" w:after="100" w:afterAutospacing="1"/>
        <w:jc w:val="both"/>
        <w:rPr>
          <w:rFonts w:ascii="Garamond" w:hAnsi="Garamond"/>
          <w:lang w:val="es-CO"/>
        </w:rPr>
      </w:pPr>
      <w:r w:rsidRPr="00C04C4B">
        <w:rPr>
          <w:rFonts w:ascii="Garamond" w:hAnsi="Garamond"/>
          <w:lang w:val="es-CO"/>
        </w:rPr>
        <w:t xml:space="preserve">Para el desarrollo de las actividades de obra y la correspondiente interventoría se deberá atender lo dispuesto en el documento vigente expedido por </w:t>
      </w:r>
      <w:proofErr w:type="spellStart"/>
      <w:r w:rsidRPr="00C04C4B">
        <w:rPr>
          <w:rFonts w:ascii="Garamond" w:hAnsi="Garamond"/>
          <w:lang w:val="es-CO"/>
        </w:rPr>
        <w:t>Vanti</w:t>
      </w:r>
      <w:proofErr w:type="spellEnd"/>
      <w:r w:rsidRPr="00C04C4B">
        <w:rPr>
          <w:rFonts w:ascii="Garamond" w:hAnsi="Garamond"/>
          <w:lang w:val="es-CO"/>
        </w:rPr>
        <w:t xml:space="preserve"> “Plan de Prevención de Daños o de Situaciones Anómalas a la Red de Distribución e Instalaciones Auxiliares Asociadas a la Infraestructura de Gas Natural Domiciliario”, código PE.02881-MA, el cual sustituye la NT-061-COL “Plan de Prevención de Daños”. En consecuencia:</w:t>
      </w:r>
    </w:p>
    <w:p w14:paraId="68CC0914" w14:textId="77777777" w:rsidR="00120AD9" w:rsidRPr="00C04C4B" w:rsidRDefault="00120AD9" w:rsidP="00A23238">
      <w:pPr>
        <w:widowControl/>
        <w:numPr>
          <w:ilvl w:val="0"/>
          <w:numId w:val="17"/>
        </w:numPr>
        <w:spacing w:before="100" w:beforeAutospacing="1" w:after="100" w:afterAutospacing="1"/>
        <w:jc w:val="both"/>
        <w:rPr>
          <w:rFonts w:ascii="Garamond" w:hAnsi="Garamond"/>
          <w:lang w:val="es-CO"/>
        </w:rPr>
      </w:pPr>
      <w:r w:rsidRPr="00C04C4B">
        <w:rPr>
          <w:rFonts w:ascii="Garamond" w:hAnsi="Garamond"/>
          <w:lang w:val="es-CO"/>
        </w:rPr>
        <w:t>El contratista de obra deberá identificar, antes del inicio de las actividades en cada frente, la existencia de redes e instalaciones de gas natural domiciliario en el área de intervención y aplicar los procedimientos de prevención, señalización, excavación, manejo de maquinaria y reporte establecidos en el documento PE.02881-MA.</w:t>
      </w:r>
    </w:p>
    <w:p w14:paraId="768541C4" w14:textId="77777777" w:rsidR="00120AD9" w:rsidRPr="00C04C4B" w:rsidRDefault="00120AD9" w:rsidP="00A23238">
      <w:pPr>
        <w:widowControl/>
        <w:numPr>
          <w:ilvl w:val="0"/>
          <w:numId w:val="17"/>
        </w:numPr>
        <w:spacing w:before="100" w:beforeAutospacing="1" w:after="100" w:afterAutospacing="1"/>
        <w:jc w:val="both"/>
        <w:rPr>
          <w:rFonts w:ascii="Garamond" w:hAnsi="Garamond"/>
          <w:lang w:val="es-CO"/>
        </w:rPr>
      </w:pPr>
      <w:r w:rsidRPr="00C04C4B">
        <w:rPr>
          <w:rFonts w:ascii="Garamond" w:hAnsi="Garamond"/>
          <w:lang w:val="es-CO"/>
        </w:rPr>
        <w:t>La interventoría verificará el cumplimiento de dichos procedimientos y dejará registro en los informes periódicos, especialmente cuando las actividades involucren excavaciones, demoliciones, cimentaciones de mobiliario o cualquier intervención en proximidad a redes de gas.</w:t>
      </w:r>
    </w:p>
    <w:p w14:paraId="713905EB" w14:textId="77777777" w:rsidR="00120AD9" w:rsidRPr="00C04C4B" w:rsidRDefault="00120AD9" w:rsidP="00A23238">
      <w:pPr>
        <w:widowControl/>
        <w:numPr>
          <w:ilvl w:val="0"/>
          <w:numId w:val="17"/>
        </w:numPr>
        <w:spacing w:before="100" w:beforeAutospacing="1" w:after="100" w:afterAutospacing="1"/>
        <w:jc w:val="both"/>
        <w:rPr>
          <w:rFonts w:ascii="Garamond" w:hAnsi="Garamond"/>
          <w:lang w:val="es-CO"/>
        </w:rPr>
      </w:pPr>
      <w:r w:rsidRPr="00C04C4B">
        <w:rPr>
          <w:rFonts w:ascii="Garamond" w:hAnsi="Garamond"/>
          <w:lang w:val="es-CO"/>
        </w:rPr>
        <w:t xml:space="preserve">Cualquier coordinación, visita técnica o autorización que deba adelantarse con </w:t>
      </w:r>
      <w:proofErr w:type="spellStart"/>
      <w:r w:rsidRPr="00C04C4B">
        <w:rPr>
          <w:rFonts w:ascii="Garamond" w:hAnsi="Garamond"/>
          <w:lang w:val="es-CO"/>
        </w:rPr>
        <w:t>Vanti</w:t>
      </w:r>
      <w:proofErr w:type="spellEnd"/>
      <w:r w:rsidRPr="00C04C4B">
        <w:rPr>
          <w:rFonts w:ascii="Garamond" w:hAnsi="Garamond"/>
          <w:lang w:val="es-CO"/>
        </w:rPr>
        <w:t xml:space="preserve"> será gestionada por el contratista de obra dentro del plazo contractual y reportada a la interventoría para su control.</w:t>
      </w:r>
    </w:p>
    <w:p w14:paraId="33A5032E" w14:textId="77777777" w:rsidR="00120AD9" w:rsidRPr="00C04C4B" w:rsidRDefault="00120AD9" w:rsidP="00A23238">
      <w:pPr>
        <w:widowControl/>
        <w:numPr>
          <w:ilvl w:val="0"/>
          <w:numId w:val="17"/>
        </w:numPr>
        <w:spacing w:before="100" w:beforeAutospacing="1" w:after="100" w:afterAutospacing="1"/>
        <w:jc w:val="both"/>
        <w:rPr>
          <w:rFonts w:ascii="Garamond" w:hAnsi="Garamond"/>
          <w:lang w:val="es-CO"/>
        </w:rPr>
      </w:pPr>
      <w:r w:rsidRPr="00C04C4B">
        <w:rPr>
          <w:rFonts w:ascii="Garamond" w:hAnsi="Garamond"/>
          <w:lang w:val="es-CO"/>
        </w:rPr>
        <w:t>El incumplimiento de los lineamientos del documento PE.02881-MA será considerado como incumplimiento de las obligaciones técnicas y de seguridad del contrato.</w:t>
      </w:r>
    </w:p>
    <w:p w14:paraId="4965BE1F" w14:textId="77777777" w:rsidR="0022086B" w:rsidRPr="00C04C4B" w:rsidRDefault="0022086B">
      <w:pPr>
        <w:jc w:val="both"/>
        <w:rPr>
          <w:rFonts w:ascii="Garamond" w:eastAsia="Garamond" w:hAnsi="Garamond" w:cs="Garamond"/>
        </w:rPr>
      </w:pPr>
    </w:p>
    <w:p w14:paraId="5F3B8865" w14:textId="77777777" w:rsidR="0022086B" w:rsidRPr="00C04C4B" w:rsidRDefault="0065443B">
      <w:pPr>
        <w:jc w:val="both"/>
        <w:rPr>
          <w:rFonts w:ascii="Garamond" w:eastAsia="Garamond" w:hAnsi="Garamond" w:cs="Garamond"/>
          <w:b/>
        </w:rPr>
      </w:pPr>
      <w:r w:rsidRPr="00C04C4B">
        <w:rPr>
          <w:rFonts w:ascii="Garamond" w:eastAsia="Garamond" w:hAnsi="Garamond" w:cs="Garamond"/>
          <w:b/>
        </w:rPr>
        <w:lastRenderedPageBreak/>
        <w:t>2.4.  IDENTIFICACIÓN DEL CONTRATO A CELEBRAR</w:t>
      </w:r>
    </w:p>
    <w:p w14:paraId="09EC826E" w14:textId="77777777" w:rsidR="0022086B" w:rsidRPr="00C04C4B" w:rsidRDefault="0022086B">
      <w:pPr>
        <w:jc w:val="both"/>
        <w:rPr>
          <w:rFonts w:ascii="Garamond" w:eastAsia="Garamond" w:hAnsi="Garamond" w:cs="Garamond"/>
        </w:rPr>
      </w:pPr>
    </w:p>
    <w:p w14:paraId="5154737A" w14:textId="0A836C62" w:rsidR="0022086B" w:rsidRPr="00C04C4B" w:rsidRDefault="0065443B">
      <w:pPr>
        <w:jc w:val="both"/>
        <w:rPr>
          <w:rFonts w:ascii="Garamond" w:eastAsia="Garamond" w:hAnsi="Garamond" w:cs="Garamond"/>
        </w:rPr>
      </w:pPr>
      <w:r w:rsidRPr="00C04C4B">
        <w:rPr>
          <w:rFonts w:ascii="Garamond" w:eastAsia="Garamond" w:hAnsi="Garamond" w:cs="Garamond"/>
        </w:rPr>
        <w:t>El contrato que surja del presente proceso de selección corresponde a un contrato de CONSULTORÍA-</w:t>
      </w:r>
      <w:r w:rsidR="006E4D8F" w:rsidRPr="00C04C4B">
        <w:rPr>
          <w:rFonts w:ascii="Garamond" w:eastAsia="Garamond" w:hAnsi="Garamond" w:cs="Garamond"/>
        </w:rPr>
        <w:t>INTERVENTORÍA</w:t>
      </w:r>
      <w:r w:rsidRPr="00C04C4B">
        <w:rPr>
          <w:rFonts w:ascii="Garamond" w:eastAsia="Garamond" w:hAnsi="Garamond" w:cs="Garamond"/>
        </w:rPr>
        <w:t xml:space="preserve"> regulado por la Ley 80 de 1993, la Ley 1150 de 2007 y demás normas que las modifiquen, adicionen o deroguen y en las materias no reguladas en dichas leyes a las disposiciones civiles y comerciales.</w:t>
      </w:r>
      <w:r w:rsidR="006E4D8F" w:rsidRPr="00C04C4B">
        <w:rPr>
          <w:rFonts w:ascii="Garamond" w:eastAsia="Garamond" w:hAnsi="Garamond" w:cs="Garamond"/>
        </w:rPr>
        <w:t xml:space="preserve"> La selección de la modalidad de concurso de méritos abierto se efectúa en atención a lo previsto en la Ley 1150 de 2007 y en el Decreto 1082 de 2015, que establecen que la contratación de servicios de consultoría debe adelantarse mediante este procedimiento, atendiendo criterios de calidad y experiencia. En consecuencia, el tipo contractual elegido corresponde a la naturaleza del objeto, al carácter intelectual y especializado de las actividades a desarrollar y a la necesidad de garantizar la selección objetiva con base en factores técnicos.</w:t>
      </w:r>
    </w:p>
    <w:p w14:paraId="2FDEEE08" w14:textId="77777777" w:rsidR="0022086B" w:rsidRPr="00C04C4B" w:rsidRDefault="0065443B">
      <w:pPr>
        <w:jc w:val="both"/>
        <w:rPr>
          <w:rFonts w:ascii="Garamond" w:eastAsia="Garamond" w:hAnsi="Garamond" w:cs="Garamond"/>
        </w:rPr>
      </w:pPr>
      <w:r w:rsidRPr="00C04C4B">
        <w:rPr>
          <w:rFonts w:ascii="Garamond" w:hAnsi="Garamond"/>
          <w:noProof/>
        </w:rPr>
        <mc:AlternateContent>
          <mc:Choice Requires="wps">
            <w:drawing>
              <wp:anchor distT="0" distB="0" distL="0" distR="0" simplePos="0" relativeHeight="251658240" behindDoc="0" locked="0" layoutInCell="1" hidden="0" allowOverlap="1" wp14:anchorId="0104FA98" wp14:editId="370E529D">
                <wp:simplePos x="0" y="0"/>
                <wp:positionH relativeFrom="column">
                  <wp:posOffset>4763</wp:posOffset>
                </wp:positionH>
                <wp:positionV relativeFrom="paragraph">
                  <wp:posOffset>192660</wp:posOffset>
                </wp:positionV>
                <wp:extent cx="5962650" cy="367030"/>
                <wp:effectExtent l="0" t="0" r="0" b="0"/>
                <wp:wrapTopAndBottom distT="0" distB="0"/>
                <wp:docPr id="124" name="Rectángulo 124"/>
                <wp:cNvGraphicFramePr/>
                <a:graphic xmlns:a="http://schemas.openxmlformats.org/drawingml/2006/main">
                  <a:graphicData uri="http://schemas.microsoft.com/office/word/2010/wordprocessingShape">
                    <wps:wsp>
                      <wps:cNvSpPr/>
                      <wps:spPr>
                        <a:xfrm>
                          <a:off x="2374200" y="3606010"/>
                          <a:ext cx="5943600" cy="347980"/>
                        </a:xfrm>
                        <a:prstGeom prst="rect">
                          <a:avLst/>
                        </a:prstGeom>
                        <a:solidFill>
                          <a:srgbClr val="D9D9D9"/>
                        </a:solidFill>
                        <a:ln w="9525" cap="flat" cmpd="sng">
                          <a:solidFill>
                            <a:srgbClr val="000000"/>
                          </a:solidFill>
                          <a:prstDash val="solid"/>
                          <a:round/>
                          <a:headEnd type="none" w="sm" len="sm"/>
                          <a:tailEnd type="none" w="sm" len="sm"/>
                        </a:ln>
                      </wps:spPr>
                      <wps:txbx>
                        <w:txbxContent>
                          <w:p w14:paraId="2AE97BCB" w14:textId="77777777" w:rsidR="0022086B" w:rsidRDefault="0065443B">
                            <w:pPr>
                              <w:spacing w:line="230" w:lineRule="auto"/>
                              <w:ind w:left="103" w:right="111" w:firstLine="206"/>
                              <w:textDirection w:val="btLr"/>
                            </w:pPr>
                            <w:r>
                              <w:rPr>
                                <w:b/>
                                <w:color w:val="000000"/>
                                <w:sz w:val="24"/>
                              </w:rPr>
                              <w:t>3. MODALIDAD DE SELECCIÓN DEL CONTRATISTA Y SU JUSTIFICACIÓN, INCLUYENDO LOS FUNDAMENTOS JURÍDICOS.</w:t>
                            </w:r>
                          </w:p>
                        </w:txbxContent>
                      </wps:txbx>
                      <wps:bodyPr spcFirstLastPara="1" wrap="square" lIns="0" tIns="0" rIns="0" bIns="0" anchor="t" anchorCtr="0">
                        <a:noAutofit/>
                      </wps:bodyPr>
                    </wps:wsp>
                  </a:graphicData>
                </a:graphic>
              </wp:anchor>
            </w:drawing>
          </mc:Choice>
          <mc:Fallback>
            <w:pict>
              <v:rect w14:anchorId="0104FA98" id="Rectángulo 124" o:spid="_x0000_s1036" style="position:absolute;left:0;text-align:left;margin-left:.4pt;margin-top:15.15pt;width:469.5pt;height:28.9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" fillcolor="#d9d9d9">
                <v:stroke startarrowwidth="narrow" startarrowlength="short" endarrowwidth="narrow" endarrowlength="short" joinstyle="round"/>
                <v:textbox inset="0,0,0,0">
                  <w:txbxContent>
                    <w:p w14:paraId="2AE97BCB" w14:textId="77777777" w:rsidR="0022086B" w:rsidRDefault="0065443B">
                      <w:pPr>
                        <w:spacing w:line="230" w:lineRule="auto"/>
                        <w:ind w:left="103" w:right="111" w:firstLine="206"/>
                        <w:textDirection w:val="btLr"/>
                      </w:pPr>
                      <w:r>
                        <w:rPr>
                          <w:b/>
                          <w:color w:val="000000"/>
                          <w:sz w:val="24"/>
                        </w:rPr>
                        <w:t>3. MODALIDAD DE SELECCIÓN DEL CONTRATISTA Y SU JUSTIFICACIÓN, INCLUYENDO LOS FUNDAMENTOS JURÍDICOS.</w:t>
                      </w:r>
                    </w:p>
                  </w:txbxContent>
                </v:textbox>
                <w10:wrap type="topAndBottom"/>
              </v:rect>
            </w:pict>
          </mc:Fallback>
        </mc:AlternateContent>
      </w:r>
    </w:p>
    <w:p w14:paraId="165E732A" w14:textId="77777777" w:rsidR="0022086B" w:rsidRPr="00C04C4B" w:rsidRDefault="0022086B">
      <w:pPr>
        <w:jc w:val="both"/>
        <w:rPr>
          <w:rFonts w:ascii="Garamond" w:eastAsia="Garamond" w:hAnsi="Garamond" w:cs="Garamond"/>
        </w:rPr>
      </w:pPr>
    </w:p>
    <w:p w14:paraId="5ADB2E94" w14:textId="77777777" w:rsidR="0022086B" w:rsidRPr="00C04C4B" w:rsidRDefault="0022086B">
      <w:pPr>
        <w:jc w:val="both"/>
        <w:rPr>
          <w:rFonts w:ascii="Garamond" w:eastAsia="Garamond" w:hAnsi="Garamond" w:cs="Garamond"/>
        </w:rPr>
      </w:pPr>
    </w:p>
    <w:p w14:paraId="60C30E07" w14:textId="77777777" w:rsidR="00484315" w:rsidRPr="00C04C4B" w:rsidRDefault="00484315" w:rsidP="00484315">
      <w:pPr>
        <w:jc w:val="both"/>
        <w:rPr>
          <w:rFonts w:ascii="Garamond" w:eastAsia="Garamond" w:hAnsi="Garamond" w:cs="Garamond"/>
        </w:rPr>
      </w:pPr>
      <w:r w:rsidRPr="00C04C4B">
        <w:rPr>
          <w:rFonts w:ascii="Garamond" w:eastAsia="Garamond" w:hAnsi="Garamond" w:cs="Garamond"/>
        </w:rPr>
        <w:t xml:space="preserve">La modalidad de selección pertinente para esta contratación corresponde al CONCURSO DE MÉRITOS, de conformidad con el numeral 3 del artículo 2 de la Ley 1150 de 2007 y en el Artículo 2.2.1.2.1.3.1 y </w:t>
      </w:r>
      <w:proofErr w:type="spellStart"/>
      <w:r w:rsidRPr="00C04C4B">
        <w:rPr>
          <w:rFonts w:ascii="Garamond" w:eastAsia="Garamond" w:hAnsi="Garamond" w:cs="Garamond"/>
        </w:rPr>
        <w:t>ss</w:t>
      </w:r>
      <w:proofErr w:type="spellEnd"/>
      <w:r w:rsidRPr="00C04C4B">
        <w:rPr>
          <w:rFonts w:ascii="Garamond" w:eastAsia="Garamond" w:hAnsi="Garamond" w:cs="Garamond"/>
        </w:rPr>
        <w:t xml:space="preserve"> del Decreto 1082 de 2015.</w:t>
      </w:r>
    </w:p>
    <w:p w14:paraId="235DFDFE" w14:textId="40FE8DE7" w:rsidR="00484315" w:rsidRPr="00C04C4B" w:rsidRDefault="00484315" w:rsidP="001C3E26">
      <w:pPr>
        <w:widowControl/>
        <w:spacing w:before="100" w:beforeAutospacing="1" w:after="100" w:afterAutospacing="1"/>
        <w:jc w:val="both"/>
        <w:rPr>
          <w:rFonts w:ascii="Garamond" w:hAnsi="Garamond"/>
          <w:lang w:val="es-CO"/>
        </w:rPr>
      </w:pPr>
      <w:r w:rsidRPr="00C04C4B">
        <w:rPr>
          <w:rFonts w:ascii="Garamond" w:hAnsi="Garamond"/>
          <w:lang w:val="es-CO"/>
        </w:rPr>
        <w:t>En atención a que el objeto contractual corresponde a un contrato de consultoría en la modalidad de interventoría de obra, actividad que implica el desarrollo de labores de carácter intelectual, especializado y eminentemente técnico. Esta modalidad se fundamenta en lo previsto en el artículo 2 de la Ley 1150 de 2007 y en el Decreto 1082 de 2015, que disponen que la escogencia del contratista para la prestación de servicios de consultoría deberá realizarse mediante concurso de méritos, privilegiando la calidad sobre el precio y con base en la evaluación de la capacidad técnica, experiencia y organización del proponente.</w:t>
      </w:r>
    </w:p>
    <w:p w14:paraId="26C8E8E2" w14:textId="48E50EDF" w:rsidR="0022086B" w:rsidRPr="00C04C4B" w:rsidRDefault="00484315">
      <w:pPr>
        <w:jc w:val="both"/>
        <w:rPr>
          <w:rFonts w:ascii="Garamond" w:eastAsia="Garamond" w:hAnsi="Garamond" w:cs="Garamond"/>
        </w:rPr>
      </w:pPr>
      <w:r w:rsidRPr="00C04C4B">
        <w:rPr>
          <w:rFonts w:ascii="Garamond" w:hAnsi="Garamond"/>
          <w:lang w:val="es-CO"/>
        </w:rPr>
        <w:t>El concurso de méritos será abierto, por cuanto el Fondo de Desarrollo Local no cuenta con listas cortas ni registros de precalificación vigentes para este tipo de servicios y requiere la participación de todos los interesados que cumplan los requisitos habilitantes, garantizando los principios de transparencia, economía y selección objetiva. En el pliego de condiciones se señalarán los factores de escogencia y la ponderación aplicable, conforme a las reglas establecidas en la normativa de contratación estatal.</w:t>
      </w:r>
    </w:p>
    <w:p w14:paraId="049AE74B" w14:textId="1678686A" w:rsidR="0022086B" w:rsidRPr="00C04C4B" w:rsidRDefault="00A61BD6">
      <w:pPr>
        <w:jc w:val="both"/>
        <w:rPr>
          <w:rFonts w:ascii="Garamond" w:eastAsia="Garamond" w:hAnsi="Garamond" w:cs="Garamond"/>
        </w:rPr>
      </w:pPr>
      <w:r w:rsidRPr="00C04C4B">
        <w:rPr>
          <w:rFonts w:ascii="Garamond" w:hAnsi="Garamond"/>
          <w:noProof/>
        </w:rPr>
        <mc:AlternateContent>
          <mc:Choice Requires="wps">
            <w:drawing>
              <wp:anchor distT="0" distB="0" distL="0" distR="0" simplePos="0" relativeHeight="251659264" behindDoc="0" locked="0" layoutInCell="1" hidden="0" allowOverlap="1" wp14:anchorId="3B84301F" wp14:editId="244A7776">
                <wp:simplePos x="0" y="0"/>
                <wp:positionH relativeFrom="margin">
                  <wp:align>center</wp:align>
                </wp:positionH>
                <wp:positionV relativeFrom="paragraph">
                  <wp:posOffset>121920</wp:posOffset>
                </wp:positionV>
                <wp:extent cx="6054090" cy="367665"/>
                <wp:effectExtent l="0" t="0" r="22860" b="13335"/>
                <wp:wrapTopAndBottom distT="0" distB="0"/>
                <wp:docPr id="122" name="Rectángulo 122"/>
                <wp:cNvGraphicFramePr/>
                <a:graphic xmlns:a="http://schemas.openxmlformats.org/drawingml/2006/main">
                  <a:graphicData uri="http://schemas.microsoft.com/office/word/2010/wordprocessingShape">
                    <wps:wsp>
                      <wps:cNvSpPr/>
                      <wps:spPr>
                        <a:xfrm>
                          <a:off x="0" y="0"/>
                          <a:ext cx="6054090" cy="367665"/>
                        </a:xfrm>
                        <a:prstGeom prst="rect">
                          <a:avLst/>
                        </a:prstGeom>
                        <a:solidFill>
                          <a:srgbClr val="D9D9D9"/>
                        </a:solidFill>
                        <a:ln w="9525" cap="flat" cmpd="sng">
                          <a:solidFill>
                            <a:srgbClr val="000000"/>
                          </a:solidFill>
                          <a:prstDash val="solid"/>
                          <a:round/>
                          <a:headEnd type="none" w="sm" len="sm"/>
                          <a:tailEnd type="none" w="sm" len="sm"/>
                        </a:ln>
                      </wps:spPr>
                      <wps:txbx>
                        <w:txbxContent>
                          <w:p w14:paraId="37A2450F" w14:textId="77777777" w:rsidR="0022086B" w:rsidRDefault="0065443B">
                            <w:pPr>
                              <w:spacing w:line="230" w:lineRule="auto"/>
                              <w:ind w:left="103" w:firstLine="206"/>
                              <w:textDirection w:val="btLr"/>
                            </w:pPr>
                            <w:r>
                              <w:rPr>
                                <w:b/>
                                <w:color w:val="000000"/>
                                <w:sz w:val="24"/>
                              </w:rPr>
                              <w:t>4. PRESUPUESTO OFICIAL Y SU JUSTIFICACIÓN, VARIABLES UTILIZADAS Y RUBROS QUE LO COMPONEN.</w:t>
                            </w:r>
                          </w:p>
                        </w:txbxContent>
                      </wps:txbx>
                      <wps:bodyPr spcFirstLastPara="1" wrap="square" lIns="0" tIns="0" rIns="0" bIns="0" anchor="t" anchorCtr="0">
                        <a:noAutofit/>
                      </wps:bodyPr>
                    </wps:wsp>
                  </a:graphicData>
                </a:graphic>
              </wp:anchor>
            </w:drawing>
          </mc:Choice>
          <mc:Fallback>
            <w:pict>
              <v:rect w14:anchorId="3B84301F" id="Rectángulo 122" o:spid="_x0000_s1037" style="position:absolute;left:0;text-align:left;margin-left:0;margin-top:9.6pt;width:476.7pt;height:28.95pt;z-index:25165926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" fillcolor="#d9d9d9">
                <v:stroke startarrowwidth="narrow" startarrowlength="short" endarrowwidth="narrow" endarrowlength="short" joinstyle="round"/>
                <v:textbox inset="0,0,0,0">
                  <w:txbxContent>
                    <w:p w14:paraId="37A2450F" w14:textId="77777777" w:rsidR="0022086B" w:rsidRDefault="0065443B">
                      <w:pPr>
                        <w:spacing w:line="230" w:lineRule="auto"/>
                        <w:ind w:left="103" w:firstLine="206"/>
                        <w:textDirection w:val="btLr"/>
                      </w:pPr>
                      <w:r>
                        <w:rPr>
                          <w:b/>
                          <w:color w:val="000000"/>
                          <w:sz w:val="24"/>
                        </w:rPr>
                        <w:t>4. PRESUPUESTO OFICIAL Y SU JUSTIFICACIÓN, VARIABLES UTILIZADAS Y RUBROS QUE LO COMPONEN.</w:t>
                      </w:r>
                    </w:p>
                  </w:txbxContent>
                </v:textbox>
                <w10:wrap type="topAndBottom" anchorx="margin"/>
              </v:rect>
            </w:pict>
          </mc:Fallback>
        </mc:AlternateContent>
      </w:r>
    </w:p>
    <w:p w14:paraId="45A7DCC5" w14:textId="23091D99" w:rsidR="0022086B" w:rsidRPr="00C04C4B" w:rsidRDefault="0065443B">
      <w:pPr>
        <w:jc w:val="both"/>
        <w:rPr>
          <w:rFonts w:ascii="Garamond" w:eastAsia="Garamond" w:hAnsi="Garamond" w:cs="Garamond"/>
        </w:rPr>
      </w:pPr>
      <w:r w:rsidRPr="00C04C4B">
        <w:rPr>
          <w:rFonts w:ascii="Garamond" w:eastAsia="Garamond" w:hAnsi="Garamond" w:cs="Garamond"/>
        </w:rPr>
        <w:t xml:space="preserve">El valor del contrato se estima hasta por la suma de </w:t>
      </w:r>
      <w:r w:rsidR="00404C09" w:rsidRPr="00C04C4B">
        <w:rPr>
          <w:rFonts w:ascii="Garamond" w:eastAsia="Garamond" w:hAnsi="Garamond" w:cs="Garamond"/>
          <w:b/>
        </w:rPr>
        <w:t>OCHENTA Y NUEVE MILLONES QUINIENTOS DIECISÉIS MIL QUINIENTOS TREINTA</w:t>
      </w:r>
      <w:r w:rsidRPr="00C04C4B">
        <w:rPr>
          <w:rFonts w:ascii="Garamond" w:eastAsia="Garamond" w:hAnsi="Garamond" w:cs="Garamond"/>
          <w:b/>
        </w:rPr>
        <w:t xml:space="preserve"> PESOS </w:t>
      </w:r>
      <w:proofErr w:type="spellStart"/>
      <w:r w:rsidRPr="00C04C4B">
        <w:rPr>
          <w:rFonts w:ascii="Garamond" w:eastAsia="Garamond" w:hAnsi="Garamond" w:cs="Garamond"/>
          <w:b/>
        </w:rPr>
        <w:t>MTE</w:t>
      </w:r>
      <w:proofErr w:type="spellEnd"/>
      <w:r w:rsidRPr="00C04C4B">
        <w:rPr>
          <w:rFonts w:ascii="Garamond" w:eastAsia="Garamond" w:hAnsi="Garamond" w:cs="Garamond"/>
          <w:b/>
        </w:rPr>
        <w:t xml:space="preserve"> ($</w:t>
      </w:r>
      <w:r w:rsidR="00404C09" w:rsidRPr="00C04C4B">
        <w:rPr>
          <w:rFonts w:ascii="Garamond" w:eastAsia="Garamond" w:hAnsi="Garamond" w:cs="Garamond"/>
          <w:b/>
        </w:rPr>
        <w:t>89,516,5</w:t>
      </w:r>
      <w:r w:rsidR="00404C09" w:rsidRPr="00C04C4B">
        <w:rPr>
          <w:rFonts w:ascii="Garamond" w:eastAsia="Garamond" w:hAnsi="Garamond" w:cs="Garamond"/>
          <w:b/>
        </w:rPr>
        <w:t>30</w:t>
      </w:r>
      <w:r w:rsidRPr="00C04C4B">
        <w:rPr>
          <w:rFonts w:ascii="Garamond" w:eastAsia="Garamond" w:hAnsi="Garamond" w:cs="Garamond"/>
          <w:b/>
        </w:rPr>
        <w:t>)</w:t>
      </w:r>
      <w:r w:rsidRPr="00C04C4B">
        <w:rPr>
          <w:rFonts w:ascii="Garamond" w:eastAsia="Garamond" w:hAnsi="Garamond" w:cs="Garamond"/>
        </w:rPr>
        <w:t xml:space="preserve">, incluido IVA y demás impuestos y/o contribuciones, respaldados a través del Certificado de Disponibilidad Presupuestal que expida el responsable de presupuesto. </w:t>
      </w:r>
    </w:p>
    <w:p w14:paraId="53CD5811" w14:textId="77777777" w:rsidR="0022086B" w:rsidRPr="00C04C4B" w:rsidRDefault="0022086B">
      <w:pPr>
        <w:jc w:val="both"/>
        <w:rPr>
          <w:rFonts w:ascii="Garamond" w:eastAsia="Garamond" w:hAnsi="Garamond" w:cs="Garamond"/>
        </w:rPr>
      </w:pPr>
    </w:p>
    <w:p w14:paraId="07B8709A" w14:textId="77777777" w:rsidR="0022086B" w:rsidRPr="00C04C4B" w:rsidRDefault="0065443B">
      <w:pPr>
        <w:jc w:val="both"/>
        <w:rPr>
          <w:rFonts w:ascii="Garamond" w:eastAsia="Garamond" w:hAnsi="Garamond" w:cs="Garamond"/>
          <w:b/>
        </w:rPr>
      </w:pPr>
      <w:r w:rsidRPr="00C04C4B">
        <w:rPr>
          <w:rFonts w:ascii="Garamond" w:eastAsia="Garamond" w:hAnsi="Garamond" w:cs="Garamond"/>
          <w:b/>
        </w:rPr>
        <w:lastRenderedPageBreak/>
        <w:t>VARIABLES UTILIZADAS PARA CALCULAR EL PRESUPUESTO OFICIAL</w:t>
      </w:r>
    </w:p>
    <w:p w14:paraId="49C4710D" w14:textId="77777777" w:rsidR="0022086B" w:rsidRPr="00C04C4B" w:rsidRDefault="0022086B">
      <w:pPr>
        <w:jc w:val="both"/>
        <w:rPr>
          <w:rFonts w:ascii="Garamond" w:eastAsia="Garamond" w:hAnsi="Garamond" w:cs="Garamond"/>
        </w:rPr>
      </w:pPr>
    </w:p>
    <w:p w14:paraId="1031E6E7" w14:textId="2459E660" w:rsidR="0022086B" w:rsidRPr="00C04C4B" w:rsidRDefault="0065443B">
      <w:pPr>
        <w:jc w:val="both"/>
        <w:rPr>
          <w:rFonts w:ascii="Garamond" w:eastAsia="Garamond" w:hAnsi="Garamond" w:cs="Garamond"/>
        </w:rPr>
      </w:pPr>
      <w:r w:rsidRPr="00C04C4B">
        <w:rPr>
          <w:rFonts w:ascii="Garamond" w:eastAsia="Garamond" w:hAnsi="Garamond" w:cs="Garamond"/>
        </w:rPr>
        <w:t>Para su estructuración, se tomó como referencia el histórico de la base de datos de tarifas para profesionales de consultoría según el estudio de precios de mercado</w:t>
      </w:r>
      <w:r w:rsidR="00194188" w:rsidRPr="00C04C4B">
        <w:rPr>
          <w:rFonts w:ascii="Garamond" w:eastAsia="Garamond" w:hAnsi="Garamond" w:cs="Garamond"/>
        </w:rPr>
        <w:t xml:space="preserve"> 202</w:t>
      </w:r>
      <w:r w:rsidR="00404C09" w:rsidRPr="00C04C4B">
        <w:rPr>
          <w:rFonts w:ascii="Garamond" w:eastAsia="Garamond" w:hAnsi="Garamond" w:cs="Garamond"/>
        </w:rPr>
        <w:t>6</w:t>
      </w:r>
      <w:r w:rsidRPr="00C04C4B">
        <w:rPr>
          <w:rFonts w:ascii="Garamond" w:eastAsia="Garamond" w:hAnsi="Garamond" w:cs="Garamond"/>
        </w:rPr>
        <w:t xml:space="preserve"> desarrollado por la Dirección Técnica Estratégica del Instituto de Desarrollo Urbano </w:t>
      </w:r>
      <w:proofErr w:type="spellStart"/>
      <w:r w:rsidRPr="00C04C4B">
        <w:rPr>
          <w:rFonts w:ascii="Garamond" w:eastAsia="Garamond" w:hAnsi="Garamond" w:cs="Garamond"/>
        </w:rPr>
        <w:t>IDU</w:t>
      </w:r>
      <w:proofErr w:type="spellEnd"/>
      <w:r w:rsidRPr="00C04C4B">
        <w:rPr>
          <w:rFonts w:ascii="Garamond" w:eastAsia="Garamond" w:hAnsi="Garamond" w:cs="Garamond"/>
        </w:rPr>
        <w:t>, por ser una publicación oficial constituye para EL FONDO la herramienta referencia empleada para la planeación y la estructuración del análisis de precios unitarios de la administración del proyecto, incluyendo honorarios, los remuneración mensual de los profesionales del proyecto, remuneración mensual para el personal técnico, remuneración para el personal administrativo, remuneración para el personal auxiliar técnico, vehículos y equipos.</w:t>
      </w:r>
    </w:p>
    <w:p w14:paraId="6573E3F6" w14:textId="77777777" w:rsidR="0022086B" w:rsidRPr="00C04C4B" w:rsidRDefault="0022086B">
      <w:pPr>
        <w:jc w:val="both"/>
        <w:rPr>
          <w:rFonts w:ascii="Garamond" w:eastAsia="Garamond" w:hAnsi="Garamond" w:cs="Garamond"/>
        </w:rPr>
      </w:pPr>
    </w:p>
    <w:p w14:paraId="29FD4F7A" w14:textId="77777777" w:rsidR="0022086B" w:rsidRPr="00C04C4B" w:rsidRDefault="0065443B">
      <w:pPr>
        <w:jc w:val="both"/>
        <w:rPr>
          <w:rFonts w:ascii="Garamond" w:eastAsia="Garamond" w:hAnsi="Garamond" w:cs="Garamond"/>
        </w:rPr>
      </w:pPr>
      <w:r w:rsidRPr="00C04C4B">
        <w:rPr>
          <w:rFonts w:ascii="Garamond" w:eastAsia="Garamond" w:hAnsi="Garamond" w:cs="Garamond"/>
        </w:rPr>
        <w:t>En cuanto al cálculo del factor multiplicador se tomaron como base de análisis los valores salariales anteriormente mencionados, las prestaciones sociales, los porcentajes de incidencia de los costos de la administración, los costos de perfeccionamiento del contrato y su correspondiente imprevisto.</w:t>
      </w:r>
    </w:p>
    <w:p w14:paraId="75DEBF81" w14:textId="77777777" w:rsidR="0022086B" w:rsidRPr="00C04C4B" w:rsidRDefault="0022086B">
      <w:pPr>
        <w:jc w:val="both"/>
        <w:rPr>
          <w:rFonts w:ascii="Garamond" w:eastAsia="Garamond" w:hAnsi="Garamond" w:cs="Garamond"/>
        </w:rPr>
      </w:pPr>
    </w:p>
    <w:p w14:paraId="7D659CF0" w14:textId="77777777" w:rsidR="0022086B" w:rsidRPr="00C04C4B" w:rsidRDefault="0065443B">
      <w:pPr>
        <w:jc w:val="both"/>
        <w:rPr>
          <w:rFonts w:ascii="Garamond" w:eastAsia="Garamond" w:hAnsi="Garamond" w:cs="Garamond"/>
        </w:rPr>
      </w:pPr>
      <w:r w:rsidRPr="00C04C4B">
        <w:rPr>
          <w:rFonts w:ascii="Garamond" w:eastAsia="Garamond" w:hAnsi="Garamond" w:cs="Garamond"/>
        </w:rPr>
        <w:t>De conformidad con el reglamento (Decreto 1082 de 2015), por tratarse de un concurso de méritos, la Entidad Estatal debe abstenerse de publicar las variables que componen el presupuesto, no obstante, ello no justifica para que dentro de la etapa de planeación determine de manera precisa los componentes que integran la mencionada interventoría, en tal sentido las variables que conforman el presupuesto deberán comprender todos los costos para llevar a cabo una adecuada interventoría tales costo equipo técnico de trabajo, costos administrativos, distribución de cargas, etc.</w:t>
      </w:r>
    </w:p>
    <w:p w14:paraId="3E42A4BD" w14:textId="77777777" w:rsidR="0022086B" w:rsidRPr="00C04C4B" w:rsidRDefault="0022086B">
      <w:pPr>
        <w:jc w:val="both"/>
        <w:rPr>
          <w:rFonts w:ascii="Garamond" w:eastAsia="Garamond" w:hAnsi="Garamond" w:cs="Garamond"/>
          <w:b/>
        </w:rPr>
      </w:pPr>
    </w:p>
    <w:p w14:paraId="1DB6C2C0" w14:textId="77777777" w:rsidR="0022086B" w:rsidRPr="00C04C4B" w:rsidRDefault="0065443B">
      <w:pPr>
        <w:jc w:val="both"/>
        <w:rPr>
          <w:rFonts w:ascii="Garamond" w:eastAsia="Garamond" w:hAnsi="Garamond" w:cs="Garamond"/>
          <w:b/>
        </w:rPr>
      </w:pPr>
      <w:r w:rsidRPr="00C04C4B">
        <w:rPr>
          <w:rFonts w:ascii="Garamond" w:eastAsia="Garamond" w:hAnsi="Garamond" w:cs="Garamond"/>
          <w:b/>
        </w:rPr>
        <w:t>4.1. ANÁLISIS DEL SECTOR Y DE LOS OFERENTES</w:t>
      </w:r>
    </w:p>
    <w:p w14:paraId="0759FC4C" w14:textId="77777777" w:rsidR="0022086B" w:rsidRPr="00C04C4B" w:rsidRDefault="0022086B">
      <w:pPr>
        <w:jc w:val="both"/>
        <w:rPr>
          <w:rFonts w:ascii="Garamond" w:eastAsia="Garamond" w:hAnsi="Garamond" w:cs="Garamond"/>
        </w:rPr>
      </w:pPr>
    </w:p>
    <w:p w14:paraId="22309A19" w14:textId="77777777" w:rsidR="0022086B" w:rsidRPr="00C04C4B" w:rsidRDefault="0065443B">
      <w:pPr>
        <w:jc w:val="both"/>
        <w:rPr>
          <w:rFonts w:ascii="Garamond" w:eastAsia="Garamond" w:hAnsi="Garamond" w:cs="Garamond"/>
        </w:rPr>
      </w:pPr>
      <w:r w:rsidRPr="00C04C4B">
        <w:rPr>
          <w:rFonts w:ascii="Garamond" w:eastAsia="Garamond" w:hAnsi="Garamond" w:cs="Garamond"/>
        </w:rPr>
        <w:t>Atendiendo lo dispuesto en el artículo 2.2.1.1.1.6.1 del Decreto 1082 del 26 de mayo de 2015, El fondo realizo la correspondiente verificación y análisis de los actores del sector, para lo cual se anexa el documento denominado estudio del sector, documento que a su vez hace parte integral del presente estudio previo.</w:t>
      </w:r>
    </w:p>
    <w:p w14:paraId="3D94642F" w14:textId="77777777" w:rsidR="0022086B" w:rsidRPr="00C04C4B" w:rsidRDefault="0022086B">
      <w:pPr>
        <w:jc w:val="both"/>
        <w:rPr>
          <w:rFonts w:ascii="Garamond" w:eastAsia="Garamond" w:hAnsi="Garamond" w:cs="Garamond"/>
        </w:rPr>
      </w:pPr>
    </w:p>
    <w:p w14:paraId="00D43446" w14:textId="77777777" w:rsidR="0022086B" w:rsidRPr="00C04C4B" w:rsidRDefault="0065443B">
      <w:pPr>
        <w:jc w:val="both"/>
        <w:rPr>
          <w:rFonts w:ascii="Garamond" w:eastAsia="Garamond" w:hAnsi="Garamond" w:cs="Garamond"/>
        </w:rPr>
      </w:pPr>
      <w:r w:rsidRPr="00C04C4B">
        <w:rPr>
          <w:rFonts w:ascii="Garamond" w:hAnsi="Garamond"/>
          <w:noProof/>
        </w:rPr>
        <mc:AlternateContent>
          <mc:Choice Requires="wps">
            <w:drawing>
              <wp:anchor distT="0" distB="0" distL="0" distR="0" simplePos="0" relativeHeight="251660288" behindDoc="0" locked="0" layoutInCell="1" hidden="0" allowOverlap="1" wp14:anchorId="2A5A574F" wp14:editId="66D44970">
                <wp:simplePos x="0" y="0"/>
                <wp:positionH relativeFrom="column">
                  <wp:posOffset>-9522</wp:posOffset>
                </wp:positionH>
                <wp:positionV relativeFrom="paragraph">
                  <wp:posOffset>160021</wp:posOffset>
                </wp:positionV>
                <wp:extent cx="6054090" cy="366395"/>
                <wp:effectExtent l="0" t="0" r="0" b="0"/>
                <wp:wrapTopAndBottom distT="0" distB="0"/>
                <wp:docPr id="127" name="Rectángulo 127"/>
                <wp:cNvGraphicFramePr/>
                <a:graphic xmlns:a="http://schemas.openxmlformats.org/drawingml/2006/main">
                  <a:graphicData uri="http://schemas.microsoft.com/office/word/2010/wordprocessingShape">
                    <wps:wsp>
                      <wps:cNvSpPr/>
                      <wps:spPr>
                        <a:xfrm>
                          <a:off x="2328480" y="3606328"/>
                          <a:ext cx="6035040" cy="347345"/>
                        </a:xfrm>
                        <a:prstGeom prst="rect">
                          <a:avLst/>
                        </a:prstGeom>
                        <a:solidFill>
                          <a:srgbClr val="D9D9D9"/>
                        </a:solidFill>
                        <a:ln w="9525" cap="flat" cmpd="sng">
                          <a:solidFill>
                            <a:srgbClr val="000000"/>
                          </a:solidFill>
                          <a:prstDash val="solid"/>
                          <a:round/>
                          <a:headEnd type="none" w="sm" len="sm"/>
                          <a:tailEnd type="none" w="sm" len="sm"/>
                        </a:ln>
                      </wps:spPr>
                      <wps:txbx>
                        <w:txbxContent>
                          <w:p w14:paraId="23330F9A" w14:textId="77777777" w:rsidR="0022086B" w:rsidRDefault="0065443B">
                            <w:pPr>
                              <w:spacing w:line="230" w:lineRule="auto"/>
                              <w:ind w:left="103" w:firstLine="206"/>
                              <w:textDirection w:val="btLr"/>
                            </w:pPr>
                            <w:r>
                              <w:rPr>
                                <w:b/>
                                <w:color w:val="000000"/>
                                <w:sz w:val="24"/>
                              </w:rPr>
                              <w:t>5. REQUISITOS HABILITANTES Y CRITERIOS PARA SELECCIONAR LA OFERTA MÁS FAVORABLE</w:t>
                            </w:r>
                          </w:p>
                        </w:txbxContent>
                      </wps:txbx>
                      <wps:bodyPr spcFirstLastPara="1" wrap="square" lIns="0" tIns="0" rIns="0" bIns="0" anchor="t" anchorCtr="0">
                        <a:noAutofit/>
                      </wps:bodyPr>
                    </wps:wsp>
                  </a:graphicData>
                </a:graphic>
              </wp:anchor>
            </w:drawing>
          </mc:Choice>
          <mc:Fallback>
            <w:pict>
              <v:rect w14:anchorId="2A5A574F" id="Rectángulo 127" o:spid="_x0000_s1038" style="position:absolute;left:0;text-align:left;margin-left:-.75pt;margin-top:12.6pt;width:476.7pt;height:28.85pt;z-index:25166028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" fillcolor="#d9d9d9">
                <v:stroke startarrowwidth="narrow" startarrowlength="short" endarrowwidth="narrow" endarrowlength="short" joinstyle="round"/>
                <v:textbox inset="0,0,0,0">
                  <w:txbxContent>
                    <w:p w14:paraId="23330F9A" w14:textId="77777777" w:rsidR="0022086B" w:rsidRDefault="0065443B">
                      <w:pPr>
                        <w:spacing w:line="230" w:lineRule="auto"/>
                        <w:ind w:left="103" w:firstLine="206"/>
                        <w:textDirection w:val="btLr"/>
                      </w:pPr>
                      <w:r>
                        <w:rPr>
                          <w:b/>
                          <w:color w:val="000000"/>
                          <w:sz w:val="24"/>
                        </w:rPr>
                        <w:t>5. REQUISITOS HABILITANTES Y CRITERIOS PARA SELECCIONAR LA OFERTA MÁS FAVORABLE</w:t>
                      </w:r>
                    </w:p>
                  </w:txbxContent>
                </v:textbox>
                <w10:wrap type="topAndBottom"/>
              </v:rect>
            </w:pict>
          </mc:Fallback>
        </mc:AlternateContent>
      </w:r>
    </w:p>
    <w:p w14:paraId="67E602B2" w14:textId="77777777" w:rsidR="0022086B" w:rsidRPr="00C04C4B" w:rsidRDefault="0022086B">
      <w:pPr>
        <w:jc w:val="both"/>
        <w:rPr>
          <w:rFonts w:ascii="Garamond" w:eastAsia="Garamond" w:hAnsi="Garamond" w:cs="Garamond"/>
        </w:rPr>
      </w:pPr>
    </w:p>
    <w:p w14:paraId="7E025961" w14:textId="77777777" w:rsidR="0022086B" w:rsidRPr="00C04C4B" w:rsidRDefault="0065443B">
      <w:pPr>
        <w:jc w:val="both"/>
        <w:rPr>
          <w:rFonts w:ascii="Garamond" w:eastAsia="Garamond" w:hAnsi="Garamond" w:cs="Garamond"/>
        </w:rPr>
      </w:pPr>
      <w:r w:rsidRPr="00C04C4B">
        <w:rPr>
          <w:rFonts w:ascii="Garamond" w:eastAsia="Garamond" w:hAnsi="Garamond" w:cs="Garamond"/>
        </w:rPr>
        <w:t>Con base en lo anterior y de acuerdo con el valor de la contratación, la modalidad de selección a través de la cual se debe adelantar la presente contratación es Concurso de méritos, regulada en el numeral 3° del artículo 2° de la Ley 1150 de 2007 y en el Decreto 1082 de 2015.</w:t>
      </w:r>
    </w:p>
    <w:p w14:paraId="3B2BC710" w14:textId="77777777" w:rsidR="0022086B" w:rsidRPr="00C04C4B" w:rsidRDefault="0022086B">
      <w:pPr>
        <w:jc w:val="both"/>
        <w:rPr>
          <w:rFonts w:ascii="Garamond" w:eastAsia="Garamond" w:hAnsi="Garamond" w:cs="Garamond"/>
        </w:rPr>
      </w:pPr>
    </w:p>
    <w:p w14:paraId="19808F26" w14:textId="77777777" w:rsidR="0022086B" w:rsidRPr="00C04C4B" w:rsidRDefault="0065443B">
      <w:pPr>
        <w:jc w:val="both"/>
        <w:rPr>
          <w:rFonts w:ascii="Garamond" w:eastAsia="Garamond" w:hAnsi="Garamond" w:cs="Garamond"/>
        </w:rPr>
      </w:pPr>
      <w:r w:rsidRPr="00C04C4B">
        <w:rPr>
          <w:rFonts w:ascii="Garamond" w:eastAsia="Garamond" w:hAnsi="Garamond" w:cs="Garamond"/>
        </w:rPr>
        <w:t>En efecto, el numeral 3° del artículo 2 ° de la Ley 1150 de 2007 establece que la modalidad de selección de concurso de méritos procederá, para la selección de consultores o proyectos, en la que se podrán utilizar sistemas de concurso abierto o de precalificación que se hará mediante convocatoria pública con la persona natural o jurídica que esté en capacidad de ejecutar el objeto del contrato y que haya demostrado la idoneidad y experiencia directamente relacionada con el área de que se trate.</w:t>
      </w:r>
    </w:p>
    <w:p w14:paraId="74007294" w14:textId="77777777" w:rsidR="0022086B" w:rsidRPr="00C04C4B" w:rsidRDefault="0022086B">
      <w:pPr>
        <w:jc w:val="both"/>
        <w:rPr>
          <w:rFonts w:ascii="Garamond" w:eastAsia="Garamond" w:hAnsi="Garamond" w:cs="Garamond"/>
        </w:rPr>
      </w:pPr>
    </w:p>
    <w:p w14:paraId="5038866F" w14:textId="77777777" w:rsidR="0022086B" w:rsidRPr="00C04C4B" w:rsidRDefault="0065443B">
      <w:pPr>
        <w:jc w:val="both"/>
        <w:rPr>
          <w:rFonts w:ascii="Garamond" w:eastAsia="Garamond" w:hAnsi="Garamond" w:cs="Garamond"/>
        </w:rPr>
      </w:pPr>
      <w:r w:rsidRPr="00C04C4B">
        <w:rPr>
          <w:rFonts w:ascii="Garamond" w:eastAsia="Garamond" w:hAnsi="Garamond" w:cs="Garamond"/>
        </w:rPr>
        <w:lastRenderedPageBreak/>
        <w:t>Por las características del objeto a contratar y la cuantía y conforme a lo dispuesto en el numeral 3º del artículo 2º de la Ley 1150 de 2007 y el Decreto 1082 de 2015, el proceso de selección será el de CONCURSO DE MÉRITOS ABIERTO.</w:t>
      </w:r>
    </w:p>
    <w:p w14:paraId="238A351B" w14:textId="77777777" w:rsidR="0022086B" w:rsidRPr="00C04C4B" w:rsidRDefault="0022086B">
      <w:pPr>
        <w:jc w:val="both"/>
        <w:rPr>
          <w:rFonts w:ascii="Garamond" w:eastAsia="Garamond" w:hAnsi="Garamond" w:cs="Garamond"/>
        </w:rPr>
      </w:pPr>
    </w:p>
    <w:p w14:paraId="08240C0D" w14:textId="77777777" w:rsidR="0022086B" w:rsidRPr="00C04C4B" w:rsidRDefault="0065443B">
      <w:pPr>
        <w:jc w:val="both"/>
        <w:rPr>
          <w:rFonts w:ascii="Garamond" w:eastAsia="Garamond" w:hAnsi="Garamond" w:cs="Garamond"/>
        </w:rPr>
      </w:pPr>
      <w:r w:rsidRPr="00C04C4B">
        <w:rPr>
          <w:rFonts w:ascii="Garamond" w:eastAsia="Garamond" w:hAnsi="Garamond" w:cs="Garamond"/>
        </w:rPr>
        <w:t>De conformidad con el objeto y la naturaleza del contrato a suscribir, los factores de escogencia del presente proceso de selección se justifican en atención a los servicios que pretende adquirir la administración local, toda vez que es necesario contar con un CONTRATISTA que tenga la capacidad jurídica, técnica y financiera necesaria, que le permita cumplir con las obligaciones contractuales a adquirir, las cuales están sujetas a normas legales de orden nacional y distrital. De la misma manera y en vista a la especialidad de las actividades a ejecutar y los servicios de interventoría a realizar, es importante que los proponentes para la experiencia a acreditar mediante los contratos presentados demuestren experiencia específica e integral en los siete componentes; componente técnico, componente ambiental, componente social, componente administrativo, componente jurídico, componentes financieros y componente SST. Así mismo la formación académica de su personal que le permita ejecutar oportunamente, y en debida forma, el objeto contractual, demostrando así su idoneidad en la ejecución de este tipo de contratos.</w:t>
      </w:r>
    </w:p>
    <w:p w14:paraId="69EF0DE3" w14:textId="77777777" w:rsidR="0022086B" w:rsidRPr="00C04C4B" w:rsidRDefault="0022086B">
      <w:pPr>
        <w:jc w:val="both"/>
        <w:rPr>
          <w:rFonts w:ascii="Garamond" w:eastAsia="Garamond" w:hAnsi="Garamond" w:cs="Garamond"/>
        </w:rPr>
      </w:pPr>
    </w:p>
    <w:p w14:paraId="12F49C07" w14:textId="77777777" w:rsidR="0022086B" w:rsidRPr="00C04C4B" w:rsidRDefault="0065443B">
      <w:pPr>
        <w:jc w:val="both"/>
        <w:rPr>
          <w:rFonts w:ascii="Garamond" w:eastAsia="Garamond" w:hAnsi="Garamond" w:cs="Garamond"/>
        </w:rPr>
      </w:pPr>
      <w:r w:rsidRPr="00C04C4B">
        <w:rPr>
          <w:rFonts w:ascii="Garamond" w:eastAsia="Garamond" w:hAnsi="Garamond" w:cs="Garamond"/>
        </w:rPr>
        <w:t>La entidad verificará los requisitos habilitantes dentro del término señalado en el cronograma del pliego de condiciones, de acuerdo con los soportes documentales que acompañan la propuesta.</w:t>
      </w:r>
    </w:p>
    <w:p w14:paraId="4D1274DC" w14:textId="77777777" w:rsidR="0022086B" w:rsidRPr="00C04C4B" w:rsidRDefault="0022086B">
      <w:pPr>
        <w:jc w:val="both"/>
        <w:rPr>
          <w:rFonts w:ascii="Garamond" w:eastAsia="Garamond" w:hAnsi="Garamond" w:cs="Garamond"/>
        </w:rPr>
      </w:pPr>
    </w:p>
    <w:p w14:paraId="5819FE3A" w14:textId="77777777" w:rsidR="0022086B" w:rsidRPr="00C04C4B" w:rsidRDefault="0065443B">
      <w:pPr>
        <w:jc w:val="both"/>
        <w:rPr>
          <w:rFonts w:ascii="Garamond" w:eastAsia="Garamond" w:hAnsi="Garamond" w:cs="Garamond"/>
        </w:rPr>
      </w:pPr>
      <w:r w:rsidRPr="00C04C4B">
        <w:rPr>
          <w:rFonts w:ascii="Garamond" w:eastAsia="Garamond" w:hAnsi="Garamond" w:cs="Garamond"/>
        </w:rPr>
        <w:t>Los requisitos habilitantes serán objeto de verificación, por lo tanto, si la propuesta cumple todos los</w:t>
      </w:r>
    </w:p>
    <w:p w14:paraId="783ADCE5" w14:textId="77777777" w:rsidR="0022086B" w:rsidRPr="00C04C4B" w:rsidRDefault="0065443B">
      <w:pPr>
        <w:jc w:val="both"/>
        <w:rPr>
          <w:rFonts w:ascii="Garamond" w:eastAsia="Garamond" w:hAnsi="Garamond" w:cs="Garamond"/>
        </w:rPr>
      </w:pPr>
      <w:r w:rsidRPr="00C04C4B">
        <w:rPr>
          <w:rFonts w:ascii="Garamond" w:eastAsia="Garamond" w:hAnsi="Garamond" w:cs="Garamond"/>
        </w:rPr>
        <w:t>aspectos se evaluarán como “cumple”. En caso contrario, se evaluará como “no cumple”.</w:t>
      </w:r>
    </w:p>
    <w:p w14:paraId="053937A1" w14:textId="77777777" w:rsidR="0022086B" w:rsidRPr="00C04C4B" w:rsidRDefault="0022086B">
      <w:pPr>
        <w:jc w:val="both"/>
        <w:rPr>
          <w:rFonts w:ascii="Garamond" w:eastAsia="Garamond" w:hAnsi="Garamond" w:cs="Garamond"/>
        </w:rPr>
      </w:pPr>
    </w:p>
    <w:p w14:paraId="7F17C778" w14:textId="7BCD9B1A" w:rsidR="0022086B" w:rsidRPr="00C04C4B" w:rsidRDefault="0065443B">
      <w:pPr>
        <w:jc w:val="both"/>
        <w:rPr>
          <w:rFonts w:ascii="Garamond" w:eastAsia="Garamond" w:hAnsi="Garamond" w:cs="Garamond"/>
        </w:rPr>
      </w:pPr>
      <w:r w:rsidRPr="00C04C4B">
        <w:rPr>
          <w:rFonts w:ascii="Garamond" w:eastAsia="Garamond" w:hAnsi="Garamond" w:cs="Garamond"/>
        </w:rPr>
        <w:t xml:space="preserve">De conformidad con la normativa aplicable, la entidad realizará la verificación de requisitos habilitantes de los proponentes (personas naturales o jurídicas nacionales o extranjeras domiciliadas o con sucursal en Colombia) con base en la información contenida en el </w:t>
      </w:r>
      <w:proofErr w:type="spellStart"/>
      <w:r w:rsidRPr="00C04C4B">
        <w:rPr>
          <w:rFonts w:ascii="Garamond" w:eastAsia="Garamond" w:hAnsi="Garamond" w:cs="Garamond"/>
        </w:rPr>
        <w:t>RUP</w:t>
      </w:r>
      <w:proofErr w:type="spellEnd"/>
      <w:r w:rsidRPr="00C04C4B">
        <w:rPr>
          <w:rFonts w:ascii="Garamond" w:eastAsia="Garamond" w:hAnsi="Garamond" w:cs="Garamond"/>
        </w:rPr>
        <w:t xml:space="preserve"> y los documentos señalados en el documento tipo.</w:t>
      </w:r>
    </w:p>
    <w:p w14:paraId="19C4407D" w14:textId="18EAC19F" w:rsidR="0069424E" w:rsidRPr="00C04C4B" w:rsidRDefault="0069424E">
      <w:pPr>
        <w:jc w:val="both"/>
        <w:rPr>
          <w:rFonts w:ascii="Garamond" w:eastAsia="Garamond" w:hAnsi="Garamond" w:cs="Garamond"/>
        </w:rPr>
      </w:pPr>
    </w:p>
    <w:p w14:paraId="562769AE" w14:textId="0DBD6862" w:rsidR="0069424E" w:rsidRPr="00C04C4B" w:rsidRDefault="0069424E" w:rsidP="00C04C4B">
      <w:pPr>
        <w:pStyle w:val="Entidad-Capitulo"/>
        <w:jc w:val="left"/>
        <w:rPr>
          <w:rFonts w:ascii="Garamond" w:hAnsi="Garamond"/>
          <w:sz w:val="22"/>
          <w:szCs w:val="22"/>
          <w:shd w:val="clear" w:color="auto" w:fill="FFFFFF"/>
        </w:rPr>
      </w:pPr>
      <w:bookmarkStart w:id="0" w:name="_Toc35616201"/>
      <w:bookmarkStart w:id="1" w:name="_Toc40113328"/>
      <w:bookmarkStart w:id="2" w:name="_Hlk516134278"/>
      <w:bookmarkStart w:id="3" w:name="_Toc504124507"/>
      <w:bookmarkStart w:id="4" w:name="_Toc228209010"/>
      <w:r w:rsidRPr="00C04C4B">
        <w:rPr>
          <w:rFonts w:ascii="Garamond" w:hAnsi="Garamond"/>
          <w:sz w:val="22"/>
          <w:szCs w:val="22"/>
        </w:rPr>
        <w:t>ELABORACIÓN, PRESENTACIÓN DE LA OFERTA</w:t>
      </w:r>
      <w:bookmarkEnd w:id="0"/>
      <w:bookmarkEnd w:id="1"/>
      <w:bookmarkEnd w:id="4"/>
    </w:p>
    <w:p w14:paraId="410E1FFD" w14:textId="77777777" w:rsidR="0069424E" w:rsidRPr="00C04C4B" w:rsidRDefault="0069424E" w:rsidP="0069424E">
      <w:pPr>
        <w:jc w:val="center"/>
        <w:rPr>
          <w:rFonts w:ascii="Garamond" w:hAnsi="Garamond" w:cs="Arial"/>
          <w:b/>
          <w:bCs/>
          <w:shd w:val="clear" w:color="auto" w:fill="FFFFFF"/>
        </w:rPr>
      </w:pPr>
    </w:p>
    <w:p w14:paraId="55EDF657" w14:textId="77777777" w:rsidR="0069424E" w:rsidRPr="00C04C4B" w:rsidRDefault="0069424E" w:rsidP="00A23238">
      <w:pPr>
        <w:pStyle w:val="Prrafodelista"/>
        <w:keepNext/>
        <w:widowControl/>
        <w:numPr>
          <w:ilvl w:val="0"/>
          <w:numId w:val="54"/>
        </w:numPr>
        <w:tabs>
          <w:tab w:val="left" w:pos="851"/>
        </w:tabs>
        <w:spacing w:before="120" w:after="200"/>
        <w:outlineLvl w:val="1"/>
        <w:rPr>
          <w:rFonts w:ascii="Garamond" w:eastAsia="Arial" w:hAnsi="Garamond" w:cs="Arial"/>
          <w:b/>
          <w:vanish/>
        </w:rPr>
      </w:pPr>
      <w:bookmarkStart w:id="5" w:name="_Toc35616202"/>
      <w:bookmarkStart w:id="6" w:name="_Toc40113329"/>
      <w:bookmarkStart w:id="7" w:name="_Toc108082892"/>
      <w:bookmarkStart w:id="8" w:name="_Toc228209011"/>
      <w:bookmarkEnd w:id="8"/>
    </w:p>
    <w:p w14:paraId="251041BF" w14:textId="77777777" w:rsidR="0069424E" w:rsidRPr="00C04C4B" w:rsidRDefault="0069424E" w:rsidP="00A23238">
      <w:pPr>
        <w:pStyle w:val="Prrafodelista"/>
        <w:keepNext/>
        <w:widowControl/>
        <w:numPr>
          <w:ilvl w:val="0"/>
          <w:numId w:val="54"/>
        </w:numPr>
        <w:tabs>
          <w:tab w:val="left" w:pos="851"/>
        </w:tabs>
        <w:spacing w:before="120" w:after="200"/>
        <w:outlineLvl w:val="1"/>
        <w:rPr>
          <w:rFonts w:ascii="Garamond" w:eastAsia="Arial" w:hAnsi="Garamond" w:cs="Arial"/>
          <w:b/>
          <w:vanish/>
        </w:rPr>
      </w:pPr>
      <w:bookmarkStart w:id="9" w:name="_Toc228209012"/>
      <w:bookmarkEnd w:id="9"/>
    </w:p>
    <w:p w14:paraId="7BB70391" w14:textId="77777777" w:rsidR="0069424E" w:rsidRPr="00C04C4B" w:rsidRDefault="0069424E" w:rsidP="00A23238">
      <w:pPr>
        <w:pStyle w:val="Prrafodelista"/>
        <w:keepNext/>
        <w:widowControl/>
        <w:numPr>
          <w:ilvl w:val="0"/>
          <w:numId w:val="54"/>
        </w:numPr>
        <w:tabs>
          <w:tab w:val="left" w:pos="851"/>
        </w:tabs>
        <w:spacing w:before="120" w:after="200"/>
        <w:outlineLvl w:val="1"/>
        <w:rPr>
          <w:rFonts w:ascii="Garamond" w:eastAsia="Arial" w:hAnsi="Garamond" w:cs="Arial"/>
          <w:b/>
          <w:vanish/>
        </w:rPr>
      </w:pPr>
      <w:bookmarkStart w:id="10" w:name="_Toc228209013"/>
      <w:bookmarkEnd w:id="10"/>
    </w:p>
    <w:p w14:paraId="3710C0F2" w14:textId="77777777" w:rsidR="0069424E" w:rsidRPr="00C04C4B" w:rsidRDefault="0069424E" w:rsidP="00A23238">
      <w:pPr>
        <w:pStyle w:val="Prrafodelista"/>
        <w:keepNext/>
        <w:widowControl/>
        <w:numPr>
          <w:ilvl w:val="0"/>
          <w:numId w:val="54"/>
        </w:numPr>
        <w:tabs>
          <w:tab w:val="left" w:pos="851"/>
        </w:tabs>
        <w:spacing w:before="120" w:after="200"/>
        <w:outlineLvl w:val="1"/>
        <w:rPr>
          <w:rFonts w:ascii="Garamond" w:eastAsia="Arial" w:hAnsi="Garamond" w:cs="Arial"/>
          <w:b/>
          <w:vanish/>
        </w:rPr>
      </w:pPr>
      <w:bookmarkStart w:id="11" w:name="_Toc228209014"/>
      <w:bookmarkEnd w:id="11"/>
    </w:p>
    <w:p w14:paraId="18C6D3B7" w14:textId="77777777" w:rsidR="0069424E" w:rsidRPr="00C04C4B" w:rsidRDefault="0069424E" w:rsidP="00A23238">
      <w:pPr>
        <w:pStyle w:val="Capitulo1"/>
        <w:numPr>
          <w:ilvl w:val="1"/>
          <w:numId w:val="54"/>
        </w:numPr>
        <w:tabs>
          <w:tab w:val="left" w:pos="851"/>
        </w:tabs>
        <w:spacing w:line="240" w:lineRule="auto"/>
        <w:jc w:val="both"/>
        <w:rPr>
          <w:rFonts w:ascii="Garamond" w:eastAsia="Arial" w:hAnsi="Garamond"/>
          <w:color w:val="auto"/>
          <w:sz w:val="22"/>
          <w:szCs w:val="22"/>
        </w:rPr>
      </w:pPr>
      <w:bookmarkStart w:id="12" w:name="_Toc228209015"/>
      <w:r w:rsidRPr="00C04C4B">
        <w:rPr>
          <w:rFonts w:ascii="Garamond" w:eastAsia="Arial" w:hAnsi="Garamond"/>
          <w:color w:val="auto"/>
          <w:sz w:val="22"/>
          <w:szCs w:val="22"/>
        </w:rPr>
        <w:t>CARTA DE PRESENTACIÓN DE LA OFERTA</w:t>
      </w:r>
      <w:bookmarkEnd w:id="5"/>
      <w:bookmarkEnd w:id="6"/>
      <w:bookmarkEnd w:id="7"/>
      <w:bookmarkEnd w:id="12"/>
    </w:p>
    <w:p w14:paraId="1EB4D81E" w14:textId="77777777" w:rsidR="0069424E" w:rsidRPr="00C04C4B" w:rsidRDefault="0069424E" w:rsidP="0069424E">
      <w:pPr>
        <w:spacing w:before="100" w:beforeAutospacing="1" w:after="100" w:afterAutospacing="1"/>
        <w:jc w:val="both"/>
        <w:rPr>
          <w:rFonts w:ascii="Garamond" w:hAnsi="Garamond"/>
        </w:rPr>
      </w:pPr>
      <w:r w:rsidRPr="00C04C4B">
        <w:rPr>
          <w:rFonts w:ascii="Garamond" w:hAnsi="Garamond"/>
        </w:rPr>
        <w:t>El Proponente presentará el Formato 1 – Carta de Presentación de la Oferta, el cual debe estar firmado por la persona natural o por el representante legal del Proponente individual o Plural, o por el apoderado.</w:t>
      </w:r>
    </w:p>
    <w:p w14:paraId="1AD3B910" w14:textId="77777777" w:rsidR="0069424E" w:rsidRPr="00C04C4B" w:rsidRDefault="0069424E" w:rsidP="0069424E">
      <w:pPr>
        <w:spacing w:before="100" w:beforeAutospacing="1" w:after="100" w:afterAutospacing="1"/>
        <w:jc w:val="both"/>
        <w:rPr>
          <w:rFonts w:ascii="Garamond" w:hAnsi="Garamond"/>
        </w:rPr>
      </w:pPr>
      <w:r w:rsidRPr="00C04C4B">
        <w:rPr>
          <w:rFonts w:ascii="Garamond" w:hAnsi="Garamond"/>
        </w:rPr>
        <w:t>La persona natural (Proponente individual o integrante de un Proponente Plural) que pretenda participar en el presente proceso, debe acreditar que posee título como arquitecto o ingeniero en la respectiva rama de la ingeniería, para lo cual adjuntará copia de la tarjeta profesional y certificado de vigencia de la matrícula profesional expedida por la autoridad competente, vigente a la fecha de cierre de este procedimiento de selección. El requisito de la tarjeta profesional se puede suplir con el registro de que trata el artículo 18 del Decreto-Ley 2106 de 2019.</w:t>
      </w:r>
    </w:p>
    <w:p w14:paraId="476F5D33" w14:textId="77777777" w:rsidR="0069424E" w:rsidRPr="00C04C4B" w:rsidRDefault="0069424E" w:rsidP="0069424E">
      <w:pPr>
        <w:spacing w:before="100" w:beforeAutospacing="1" w:after="100" w:afterAutospacing="1"/>
        <w:jc w:val="both"/>
        <w:rPr>
          <w:rFonts w:ascii="Garamond" w:hAnsi="Garamond"/>
        </w:rPr>
      </w:pPr>
      <w:r w:rsidRPr="00C04C4B">
        <w:rPr>
          <w:rFonts w:ascii="Garamond" w:hAnsi="Garamond"/>
        </w:rPr>
        <w:lastRenderedPageBreak/>
        <w:t xml:space="preserve">En todo caso, de acuerdo con en el artículo 20 de la Ley 842 de 2003, si el Proponente –persona natural– es arquitecto, o el representante legal o el apoderado del proponente individual persona jurídica o el representante legal o apoderado de la estructura plural, no posee título de ingeniero en la respectiva rama de la ingeniería, la oferta tendrá que ser avalada por un ingeniero, para lo cual debe adjuntar copia de la tarjeta profesional y copia del certificado de vigencia de matrícula profesional expedida por el </w:t>
      </w:r>
      <w:proofErr w:type="spellStart"/>
      <w:r w:rsidRPr="00C04C4B">
        <w:rPr>
          <w:rFonts w:ascii="Garamond" w:hAnsi="Garamond"/>
        </w:rPr>
        <w:t>Copnia</w:t>
      </w:r>
      <w:proofErr w:type="spellEnd"/>
      <w:r w:rsidRPr="00C04C4B">
        <w:rPr>
          <w:rFonts w:ascii="Garamond" w:hAnsi="Garamond"/>
        </w:rPr>
        <w:t>, en la respectiva rama de la ingeniería, según corresponda, vigente a la fecha de cierre de este procedimiento de selección. El requisito de la tarjeta profesional se puede suplir con el registro de que trata el artículo 18 del Decreto-Ley 2106 de 2019.</w:t>
      </w:r>
    </w:p>
    <w:p w14:paraId="165744D2" w14:textId="77777777" w:rsidR="0069424E" w:rsidRPr="00C04C4B" w:rsidRDefault="0069424E" w:rsidP="0069424E">
      <w:pPr>
        <w:spacing w:before="100" w:beforeAutospacing="1" w:after="100" w:afterAutospacing="1"/>
        <w:jc w:val="both"/>
        <w:rPr>
          <w:rFonts w:ascii="Garamond" w:hAnsi="Garamond"/>
        </w:rPr>
      </w:pPr>
      <w:r w:rsidRPr="00C04C4B">
        <w:rPr>
          <w:rFonts w:ascii="Garamond" w:hAnsi="Garamond"/>
        </w:rPr>
        <w:t>El aval del ingeniero de que trata el artículo 20 de la Ley 842 de 2003 hace parte integral del Formato 1 – Carta de presentación de la oferta, cuando el Proponente deba presentarlo.</w:t>
      </w:r>
    </w:p>
    <w:p w14:paraId="2CF7F738" w14:textId="77777777" w:rsidR="0069424E" w:rsidRPr="00C04C4B" w:rsidRDefault="0069424E" w:rsidP="0069424E">
      <w:pPr>
        <w:spacing w:before="100" w:beforeAutospacing="1" w:after="100" w:afterAutospacing="1"/>
        <w:jc w:val="both"/>
        <w:rPr>
          <w:rFonts w:ascii="Garamond" w:hAnsi="Garamond"/>
        </w:rPr>
      </w:pPr>
      <w:r w:rsidRPr="00C04C4B">
        <w:rPr>
          <w:rFonts w:ascii="Garamond" w:hAnsi="Garamond"/>
        </w:rPr>
        <w:t>La carta de presentación debe suscribirse. Con la firma de este documento se entiende que el proponente conoce y acepta las obligaciones del Anexo 3 – Pacto de Transparencia y, por lo tanto, no será necesaria la entrega de este documento al momento de presentar la oferta.</w:t>
      </w:r>
    </w:p>
    <w:p w14:paraId="66E12C35" w14:textId="3A2DE52B" w:rsidR="0069424E" w:rsidRPr="00C04C4B" w:rsidRDefault="0069424E" w:rsidP="00C04C4B">
      <w:pPr>
        <w:spacing w:before="100" w:beforeAutospacing="1" w:after="100" w:afterAutospacing="1"/>
        <w:jc w:val="both"/>
        <w:rPr>
          <w:rFonts w:ascii="Garamond" w:hAnsi="Garamond"/>
        </w:rPr>
      </w:pPr>
      <w:r w:rsidRPr="00C04C4B">
        <w:rPr>
          <w:rFonts w:ascii="Garamond" w:hAnsi="Garamond"/>
        </w:rPr>
        <w:t>El Proponente debe diligenciar los Formatos. Todos los espacios en blanco deben diligenciarse con la información solicitada.</w:t>
      </w:r>
      <w:bookmarkStart w:id="13" w:name="_Toc508648260"/>
      <w:bookmarkStart w:id="14" w:name="_Toc508984044"/>
      <w:bookmarkStart w:id="15" w:name="_Toc509843875"/>
      <w:bookmarkStart w:id="16" w:name="_Toc511924783"/>
      <w:bookmarkStart w:id="17" w:name="_Toc520226872"/>
      <w:bookmarkStart w:id="18" w:name="_Toc520297842"/>
      <w:bookmarkStart w:id="19" w:name="_Toc520317107"/>
      <w:bookmarkStart w:id="20" w:name="_Toc533083708"/>
      <w:bookmarkStart w:id="21" w:name="_Toc505100175"/>
      <w:bookmarkEnd w:id="2"/>
    </w:p>
    <w:p w14:paraId="6769DB2C" w14:textId="77777777" w:rsidR="0069424E" w:rsidRPr="00C04C4B" w:rsidRDefault="0069424E" w:rsidP="00A23238">
      <w:pPr>
        <w:pStyle w:val="Capitulo1"/>
        <w:numPr>
          <w:ilvl w:val="1"/>
          <w:numId w:val="54"/>
        </w:numPr>
        <w:tabs>
          <w:tab w:val="left" w:pos="851"/>
        </w:tabs>
        <w:spacing w:line="240" w:lineRule="auto"/>
        <w:jc w:val="both"/>
        <w:rPr>
          <w:rFonts w:ascii="Garamond" w:eastAsia="Arial" w:hAnsi="Garamond"/>
          <w:color w:val="auto"/>
          <w:sz w:val="22"/>
          <w:szCs w:val="22"/>
        </w:rPr>
      </w:pPr>
      <w:bookmarkStart w:id="22" w:name="_Toc108082893"/>
      <w:bookmarkStart w:id="23" w:name="_Toc35616203"/>
      <w:bookmarkStart w:id="24" w:name="_Toc40113330"/>
      <w:bookmarkStart w:id="25" w:name="_Toc228209016"/>
      <w:r w:rsidRPr="00C04C4B">
        <w:rPr>
          <w:rFonts w:ascii="Garamond" w:eastAsia="Arial" w:hAnsi="Garamond"/>
          <w:color w:val="auto"/>
          <w:sz w:val="22"/>
          <w:szCs w:val="22"/>
        </w:rPr>
        <w:t>APODERADO</w:t>
      </w:r>
      <w:bookmarkEnd w:id="22"/>
      <w:bookmarkEnd w:id="25"/>
      <w:r w:rsidRPr="00C04C4B">
        <w:rPr>
          <w:rFonts w:ascii="Garamond" w:eastAsia="Arial" w:hAnsi="Garamond"/>
          <w:color w:val="auto"/>
          <w:sz w:val="22"/>
          <w:szCs w:val="22"/>
        </w:rPr>
        <w:t xml:space="preserve"> </w:t>
      </w:r>
      <w:bookmarkEnd w:id="13"/>
      <w:bookmarkEnd w:id="14"/>
      <w:bookmarkEnd w:id="15"/>
      <w:bookmarkEnd w:id="16"/>
      <w:bookmarkEnd w:id="17"/>
      <w:bookmarkEnd w:id="18"/>
      <w:bookmarkEnd w:id="19"/>
      <w:bookmarkEnd w:id="20"/>
      <w:bookmarkEnd w:id="23"/>
      <w:bookmarkEnd w:id="24"/>
    </w:p>
    <w:p w14:paraId="630A12BB" w14:textId="77777777" w:rsidR="0069424E" w:rsidRPr="00C04C4B" w:rsidRDefault="0069424E" w:rsidP="0069424E">
      <w:pPr>
        <w:pStyle w:val="InviasNormal"/>
        <w:jc w:val="both"/>
        <w:rPr>
          <w:rFonts w:ascii="Garamond" w:eastAsia="Arial" w:hAnsi="Garamond" w:cs="Arial"/>
          <w:sz w:val="22"/>
          <w:szCs w:val="22"/>
          <w:lang w:val="es-CO"/>
        </w:rPr>
      </w:pPr>
      <w:bookmarkStart w:id="26" w:name="_Hlk516134512"/>
      <w:r w:rsidRPr="00C04C4B">
        <w:rPr>
          <w:rFonts w:ascii="Garamond" w:eastAsia="Arial" w:hAnsi="Garamond" w:cs="Arial"/>
          <w:sz w:val="22"/>
          <w:szCs w:val="22"/>
          <w:lang w:val="es-CO"/>
        </w:rPr>
        <w:t>Los Proponentes podrán presentar ofertas directamente o suscritas por intermedio de apoderado, evento en el cual deben anexar el poder otorgado en legal forma (artículo 5 del Decreto – Ley 019 de 2012), en el que se confiera al apoderado de manera clara y expresa facultades amplias y suficientes para actuar, obligar y responsabilizar a quien(es) representa en el trámite del presente proceso y en la suscripción del Contrato. No obstante, la simple entrega física o radicación de la oferta en la Entidad puede realizarla cualquier persona sin necesidad de poder o autorización.</w:t>
      </w:r>
    </w:p>
    <w:p w14:paraId="147D716B" w14:textId="77777777" w:rsidR="0069424E" w:rsidRPr="00C04C4B" w:rsidRDefault="0069424E" w:rsidP="0069424E">
      <w:pPr>
        <w:pStyle w:val="InviasNormal"/>
        <w:jc w:val="both"/>
        <w:rPr>
          <w:rFonts w:ascii="Garamond" w:eastAsia="Arial" w:hAnsi="Garamond" w:cs="Arial"/>
          <w:sz w:val="22"/>
          <w:szCs w:val="22"/>
          <w:lang w:val="es-CO"/>
        </w:rPr>
      </w:pPr>
      <w:r w:rsidRPr="00C04C4B">
        <w:rPr>
          <w:rFonts w:ascii="Garamond" w:eastAsia="Arial" w:hAnsi="Garamond" w:cs="Arial"/>
          <w:sz w:val="22"/>
          <w:szCs w:val="22"/>
          <w:lang w:val="es-CO"/>
        </w:rPr>
        <w:t>El apoderado que firma la oferta podrá ser una persona natural o jurídica que en todo caso debe tener domicilio permanente, para efectos de este proceso, en la República de Colombia y debe estar facultado para representar al Proponente y/o a todos los integrantes del Proponente Plural, a efectos de adelantar en su nombre de manera específica las siguientes actividades: (i) presentar oferta para el Proceso de Contratación que trata este Pliego; (</w:t>
      </w:r>
      <w:proofErr w:type="spellStart"/>
      <w:r w:rsidRPr="00C04C4B">
        <w:rPr>
          <w:rFonts w:ascii="Garamond" w:eastAsia="Arial" w:hAnsi="Garamond" w:cs="Arial"/>
          <w:sz w:val="22"/>
          <w:szCs w:val="22"/>
          <w:lang w:val="es-CO"/>
        </w:rPr>
        <w:t>ii</w:t>
      </w:r>
      <w:proofErr w:type="spellEnd"/>
      <w:r w:rsidRPr="00C04C4B">
        <w:rPr>
          <w:rFonts w:ascii="Garamond" w:eastAsia="Arial" w:hAnsi="Garamond" w:cs="Arial"/>
          <w:sz w:val="22"/>
          <w:szCs w:val="22"/>
          <w:lang w:val="es-CO"/>
        </w:rPr>
        <w:t>) responder a los requerimientos y aclaraciones solicitados por la Entidad en el curso del presente proceso; (</w:t>
      </w:r>
      <w:proofErr w:type="spellStart"/>
      <w:r w:rsidRPr="00C04C4B">
        <w:rPr>
          <w:rFonts w:ascii="Garamond" w:eastAsia="Arial" w:hAnsi="Garamond" w:cs="Arial"/>
          <w:sz w:val="22"/>
          <w:szCs w:val="22"/>
          <w:lang w:val="es-CO"/>
        </w:rPr>
        <w:t>iii</w:t>
      </w:r>
      <w:proofErr w:type="spellEnd"/>
      <w:r w:rsidRPr="00C04C4B">
        <w:rPr>
          <w:rFonts w:ascii="Garamond" w:eastAsia="Arial" w:hAnsi="Garamond" w:cs="Arial"/>
          <w:sz w:val="22"/>
          <w:szCs w:val="22"/>
          <w:lang w:val="es-CO"/>
        </w:rPr>
        <w:t>) recibir las notificaciones a que haya lugar dentro del proceso; (</w:t>
      </w:r>
      <w:proofErr w:type="spellStart"/>
      <w:r w:rsidRPr="00C04C4B">
        <w:rPr>
          <w:rFonts w:ascii="Garamond" w:eastAsia="Arial" w:hAnsi="Garamond" w:cs="Arial"/>
          <w:sz w:val="22"/>
          <w:szCs w:val="22"/>
          <w:lang w:val="es-CO"/>
        </w:rPr>
        <w:t>iv</w:t>
      </w:r>
      <w:proofErr w:type="spellEnd"/>
      <w:r w:rsidRPr="00C04C4B">
        <w:rPr>
          <w:rFonts w:ascii="Garamond" w:eastAsia="Arial" w:hAnsi="Garamond" w:cs="Arial"/>
          <w:sz w:val="22"/>
          <w:szCs w:val="22"/>
          <w:lang w:val="es-CO"/>
        </w:rPr>
        <w:t>) suscribir el Contrato en nombre y representación del adjudicatario, así como el acta de terminación y liquidación, si a ello hubiere lugar.</w:t>
      </w:r>
    </w:p>
    <w:p w14:paraId="2B74D569" w14:textId="77777777" w:rsidR="0069424E" w:rsidRPr="00C04C4B" w:rsidRDefault="0069424E" w:rsidP="0069424E">
      <w:pPr>
        <w:pStyle w:val="InviasNormal"/>
        <w:jc w:val="both"/>
        <w:rPr>
          <w:rFonts w:ascii="Garamond" w:eastAsia="Arial" w:hAnsi="Garamond" w:cs="Arial"/>
          <w:sz w:val="22"/>
          <w:szCs w:val="22"/>
          <w:lang w:val="es-CO"/>
        </w:rPr>
      </w:pPr>
      <w:r w:rsidRPr="00C04C4B">
        <w:rPr>
          <w:rFonts w:ascii="Garamond" w:eastAsia="Arial" w:hAnsi="Garamond" w:cs="Arial"/>
          <w:sz w:val="22"/>
          <w:szCs w:val="22"/>
          <w:lang w:val="es-CO"/>
        </w:rPr>
        <w:t xml:space="preserve">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y/o Apostilla y traducción exigidos en el Código de Comercio y en el Código General del Proceso, incluyendo los señalados en el Pliego de Condiciones. El poder a que se refiere este párrafo podrá, otorgarse en el mismo acto de constitución del Proponente Plural. </w:t>
      </w:r>
    </w:p>
    <w:p w14:paraId="3C2BF82F" w14:textId="77777777" w:rsidR="0069424E" w:rsidRPr="00C04C4B" w:rsidRDefault="0069424E" w:rsidP="0069424E">
      <w:pPr>
        <w:pStyle w:val="Capitulo1"/>
        <w:tabs>
          <w:tab w:val="left" w:pos="851"/>
        </w:tabs>
        <w:spacing w:line="240" w:lineRule="auto"/>
        <w:jc w:val="both"/>
        <w:rPr>
          <w:rFonts w:ascii="Garamond" w:eastAsia="Arial" w:hAnsi="Garamond"/>
          <w:color w:val="auto"/>
          <w:sz w:val="22"/>
          <w:szCs w:val="22"/>
        </w:rPr>
      </w:pPr>
      <w:bookmarkStart w:id="27" w:name="_Toc108082894"/>
      <w:bookmarkStart w:id="28" w:name="_Toc35616204"/>
      <w:bookmarkStart w:id="29" w:name="_Toc40113331"/>
      <w:bookmarkStart w:id="30" w:name="_Toc228209017"/>
      <w:r w:rsidRPr="00C04C4B">
        <w:rPr>
          <w:rFonts w:ascii="Garamond" w:eastAsia="Arial" w:hAnsi="Garamond"/>
          <w:color w:val="auto"/>
          <w:sz w:val="22"/>
          <w:szCs w:val="22"/>
        </w:rPr>
        <w:lastRenderedPageBreak/>
        <w:t>LIMITACIÓN A MIPYME</w:t>
      </w:r>
      <w:bookmarkEnd w:id="27"/>
      <w:bookmarkEnd w:id="30"/>
      <w:r w:rsidRPr="00C04C4B">
        <w:rPr>
          <w:rFonts w:ascii="Garamond" w:eastAsia="Arial" w:hAnsi="Garamond"/>
          <w:color w:val="auto"/>
          <w:sz w:val="22"/>
          <w:szCs w:val="22"/>
        </w:rPr>
        <w:t xml:space="preserve"> </w:t>
      </w:r>
      <w:bookmarkEnd w:id="28"/>
      <w:bookmarkEnd w:id="29"/>
      <w:r w:rsidRPr="00C04C4B">
        <w:rPr>
          <w:rFonts w:ascii="Garamond" w:eastAsia="Arial" w:hAnsi="Garamond"/>
          <w:color w:val="auto"/>
          <w:sz w:val="22"/>
          <w:szCs w:val="22"/>
        </w:rPr>
        <w:t xml:space="preserve"> </w:t>
      </w:r>
    </w:p>
    <w:p w14:paraId="0DE65895" w14:textId="2B2EB6F7" w:rsidR="0069424E" w:rsidRPr="00C04C4B" w:rsidRDefault="0069424E" w:rsidP="0069424E">
      <w:pPr>
        <w:jc w:val="both"/>
        <w:rPr>
          <w:rFonts w:ascii="Garamond" w:hAnsi="Garamond" w:cs="Arial"/>
          <w:color w:val="000000"/>
        </w:rPr>
      </w:pPr>
      <w:r w:rsidRPr="00C04C4B">
        <w:rPr>
          <w:rFonts w:ascii="Garamond" w:hAnsi="Garamond" w:cs="Arial"/>
        </w:rPr>
        <w:t xml:space="preserve">[De acuerdo con el artículo 2.2.1.2.4.2.2 del Decreto 1082 de 2015, las Entidades  deben limitar el Proceso de Contratación a las </w:t>
      </w:r>
      <w:proofErr w:type="spellStart"/>
      <w:r w:rsidRPr="00C04C4B">
        <w:rPr>
          <w:rFonts w:ascii="Garamond" w:hAnsi="Garamond" w:cs="Arial"/>
        </w:rPr>
        <w:t>Mipyme</w:t>
      </w:r>
      <w:proofErr w:type="spellEnd"/>
      <w:r w:rsidRPr="00C04C4B">
        <w:rPr>
          <w:rFonts w:ascii="Garamond" w:hAnsi="Garamond" w:cs="Arial"/>
        </w:rPr>
        <w:t xml:space="preserve"> colombianas con mínimo un (1) año de existencia, siempre y cuando concurran los siguientes requisitos: i) </w:t>
      </w:r>
      <w:r w:rsidRPr="00C04C4B">
        <w:rPr>
          <w:rFonts w:ascii="Garamond" w:hAnsi="Garamond" w:cs="Arial"/>
          <w:color w:val="000000" w:themeColor="text1"/>
        </w:rPr>
        <w:t xml:space="preserve">el valor del Proceso de Contratación sea menor a ciento veinticinco mil dólares de los Estados Unidos de América (US$125.000), liquidados con la tasa de cambio que para el efecto determina cada dos años el Ministerio de Comercio, Industria y Turismo, y </w:t>
      </w:r>
      <w:proofErr w:type="spellStart"/>
      <w:r w:rsidRPr="00C04C4B">
        <w:rPr>
          <w:rFonts w:ascii="Garamond" w:hAnsi="Garamond" w:cs="Arial"/>
          <w:color w:val="000000" w:themeColor="text1"/>
        </w:rPr>
        <w:t>ii</w:t>
      </w:r>
      <w:proofErr w:type="spellEnd"/>
      <w:r w:rsidRPr="00C04C4B">
        <w:rPr>
          <w:rFonts w:ascii="Garamond" w:hAnsi="Garamond" w:cs="Arial"/>
          <w:color w:val="000000" w:themeColor="text1"/>
        </w:rPr>
        <w:t xml:space="preserve">) se hayan recibido solicitudes de por lo menos dos (2) </w:t>
      </w:r>
      <w:proofErr w:type="spellStart"/>
      <w:r w:rsidRPr="00C04C4B">
        <w:rPr>
          <w:rFonts w:ascii="Garamond" w:hAnsi="Garamond" w:cs="Arial"/>
          <w:color w:val="000000" w:themeColor="text1"/>
        </w:rPr>
        <w:t>Mipyme</w:t>
      </w:r>
      <w:proofErr w:type="spellEnd"/>
      <w:r w:rsidRPr="00C04C4B">
        <w:rPr>
          <w:rFonts w:ascii="Garamond" w:hAnsi="Garamond" w:cs="Arial"/>
          <w:color w:val="000000" w:themeColor="text1"/>
        </w:rPr>
        <w:t xml:space="preserve"> colombianas para limitar la convocatoria a </w:t>
      </w:r>
      <w:proofErr w:type="spellStart"/>
      <w:r w:rsidRPr="00C04C4B">
        <w:rPr>
          <w:rFonts w:ascii="Garamond" w:hAnsi="Garamond" w:cs="Arial"/>
          <w:color w:val="000000" w:themeColor="text1"/>
        </w:rPr>
        <w:t>Mipyme</w:t>
      </w:r>
      <w:proofErr w:type="spellEnd"/>
      <w:r w:rsidRPr="00C04C4B">
        <w:rPr>
          <w:rFonts w:ascii="Garamond" w:hAnsi="Garamond" w:cs="Arial"/>
          <w:color w:val="000000" w:themeColor="text1"/>
        </w:rPr>
        <w:t xml:space="preserve"> colombianas.</w:t>
      </w:r>
      <w:r w:rsidRPr="00C04C4B">
        <w:rPr>
          <w:rStyle w:val="apple-converted-space"/>
          <w:rFonts w:ascii="Garamond" w:hAnsi="Garamond" w:cs="Arial"/>
          <w:color w:val="000000" w:themeColor="text1"/>
        </w:rPr>
        <w:t> La Entidad debe recibir estas solicitudes por lo menos un (1) día hábil antes de la expedición del acto administrativo de apertura, o el que haga sus veces.]</w:t>
      </w:r>
    </w:p>
    <w:p w14:paraId="51A737AB" w14:textId="77777777" w:rsidR="0069424E" w:rsidRPr="00C04C4B" w:rsidRDefault="0069424E" w:rsidP="0069424E">
      <w:pPr>
        <w:jc w:val="both"/>
        <w:rPr>
          <w:rFonts w:ascii="Garamond" w:eastAsia="Arial" w:hAnsi="Garamond" w:cs="Arial"/>
          <w:lang w:eastAsia="es-ES"/>
        </w:rPr>
      </w:pPr>
    </w:p>
    <w:p w14:paraId="170F69E0" w14:textId="77777777" w:rsidR="0069424E" w:rsidRPr="00C04C4B" w:rsidRDefault="0069424E" w:rsidP="0069424E">
      <w:pPr>
        <w:ind w:right="49"/>
        <w:jc w:val="both"/>
        <w:rPr>
          <w:rFonts w:ascii="Garamond" w:eastAsia="Arial" w:hAnsi="Garamond" w:cs="Arial"/>
          <w:lang w:eastAsia="es-ES"/>
        </w:rPr>
      </w:pPr>
      <w:r w:rsidRPr="00C04C4B">
        <w:rPr>
          <w:rFonts w:ascii="Garamond" w:eastAsia="Arial" w:hAnsi="Garamond" w:cs="Arial"/>
          <w:lang w:eastAsia="es-ES"/>
        </w:rPr>
        <w:t xml:space="preserve">De igual manera, los interesados deberán acreditar el cumplimiento de los demás requisitos definidos en el artículo 2.2.1.2.4.2.4 del Decreto 1082 de 2015 o la norma que lo modifique, sustituya o complemente, para lo cual diligenciarán el “Formato 14 – Acreditación de </w:t>
      </w:r>
      <w:proofErr w:type="spellStart"/>
      <w:r w:rsidRPr="00C04C4B">
        <w:rPr>
          <w:rFonts w:ascii="Garamond" w:eastAsia="Arial" w:hAnsi="Garamond" w:cs="Arial"/>
          <w:lang w:eastAsia="es-ES"/>
        </w:rPr>
        <w:t>Mipyme</w:t>
      </w:r>
      <w:proofErr w:type="spellEnd"/>
      <w:r w:rsidRPr="00C04C4B">
        <w:rPr>
          <w:rFonts w:ascii="Garamond" w:eastAsia="Arial" w:hAnsi="Garamond" w:cs="Arial"/>
          <w:lang w:eastAsia="es-ES"/>
        </w:rPr>
        <w:t xml:space="preserve">” y aportarán los soportes requeridos para que proceda la limitación de la convocatoria a </w:t>
      </w:r>
      <w:proofErr w:type="spellStart"/>
      <w:r w:rsidRPr="00C04C4B">
        <w:rPr>
          <w:rFonts w:ascii="Garamond" w:eastAsia="Arial" w:hAnsi="Garamond" w:cs="Arial"/>
          <w:lang w:eastAsia="es-ES"/>
        </w:rPr>
        <w:t>Mipyme</w:t>
      </w:r>
      <w:proofErr w:type="spellEnd"/>
      <w:r w:rsidRPr="00C04C4B">
        <w:rPr>
          <w:rFonts w:ascii="Garamond" w:eastAsia="Arial" w:hAnsi="Garamond" w:cs="Arial"/>
          <w:lang w:eastAsia="es-ES"/>
        </w:rPr>
        <w:t xml:space="preserve">. En caso de que la condición de </w:t>
      </w:r>
      <w:proofErr w:type="spellStart"/>
      <w:r w:rsidRPr="00C04C4B">
        <w:rPr>
          <w:rFonts w:ascii="Garamond" w:eastAsia="Arial" w:hAnsi="Garamond" w:cs="Arial"/>
          <w:lang w:eastAsia="es-ES"/>
        </w:rPr>
        <w:t>Mipyme</w:t>
      </w:r>
      <w:proofErr w:type="spellEnd"/>
      <w:r w:rsidRPr="00C04C4B">
        <w:rPr>
          <w:rFonts w:ascii="Garamond" w:eastAsia="Arial" w:hAnsi="Garamond" w:cs="Arial"/>
          <w:lang w:eastAsia="es-ES"/>
        </w:rPr>
        <w:t xml:space="preserve"> se pruebe mediante la presentación del Registro Único de Proponentes (</w:t>
      </w:r>
      <w:proofErr w:type="spellStart"/>
      <w:r w:rsidRPr="00C04C4B">
        <w:rPr>
          <w:rFonts w:ascii="Garamond" w:eastAsia="Arial" w:hAnsi="Garamond" w:cs="Arial"/>
          <w:lang w:eastAsia="es-ES"/>
        </w:rPr>
        <w:t>RUP</w:t>
      </w:r>
      <w:proofErr w:type="spellEnd"/>
      <w:r w:rsidRPr="00C04C4B">
        <w:rPr>
          <w:rFonts w:ascii="Garamond" w:eastAsia="Arial" w:hAnsi="Garamond" w:cs="Arial"/>
          <w:lang w:eastAsia="es-ES"/>
        </w:rPr>
        <w:t xml:space="preserve">), en los términos establecidos en el artículo 2.2.1.2.4.2.4 del Decreto 1082 de 2015, no será necesario presentar el formato indicado. </w:t>
      </w:r>
    </w:p>
    <w:p w14:paraId="455D662E" w14:textId="77777777" w:rsidR="0069424E" w:rsidRPr="00C04C4B" w:rsidRDefault="0069424E" w:rsidP="0069424E">
      <w:pPr>
        <w:jc w:val="both"/>
        <w:rPr>
          <w:rFonts w:ascii="Garamond" w:eastAsia="Arial" w:hAnsi="Garamond" w:cs="Arial"/>
          <w:lang w:eastAsia="es-ES"/>
        </w:rPr>
      </w:pPr>
    </w:p>
    <w:p w14:paraId="2B25C835" w14:textId="45943D02" w:rsidR="0069424E" w:rsidRPr="00C04C4B" w:rsidRDefault="0069424E" w:rsidP="0069424E">
      <w:pPr>
        <w:ind w:right="49"/>
        <w:jc w:val="both"/>
        <w:rPr>
          <w:rFonts w:ascii="Garamond" w:eastAsia="Arial" w:hAnsi="Garamond" w:cs="Arial"/>
          <w:lang w:eastAsia="es-ES"/>
        </w:rPr>
      </w:pPr>
      <w:r w:rsidRPr="00C04C4B">
        <w:rPr>
          <w:rFonts w:ascii="Garamond" w:eastAsia="Arial" w:hAnsi="Garamond" w:cs="Arial"/>
          <w:lang w:eastAsia="es-ES"/>
        </w:rPr>
        <w:t xml:space="preserve">Los interesados manifestarán su intención de limitar las convocatorias a </w:t>
      </w:r>
      <w:proofErr w:type="spellStart"/>
      <w:r w:rsidRPr="00C04C4B">
        <w:rPr>
          <w:rFonts w:ascii="Garamond" w:eastAsia="Arial" w:hAnsi="Garamond" w:cs="Arial"/>
          <w:lang w:eastAsia="es-ES"/>
        </w:rPr>
        <w:t>Mipyme</w:t>
      </w:r>
      <w:proofErr w:type="spellEnd"/>
      <w:r w:rsidRPr="00C04C4B">
        <w:rPr>
          <w:rFonts w:ascii="Garamond" w:eastAsia="Arial" w:hAnsi="Garamond" w:cs="Arial"/>
          <w:lang w:eastAsia="es-ES"/>
        </w:rPr>
        <w:t xml:space="preserve"> en la sección mensajes o en el módulo dispuesto en la plataforma del </w:t>
      </w:r>
      <w:proofErr w:type="spellStart"/>
      <w:r w:rsidRPr="00C04C4B">
        <w:rPr>
          <w:rFonts w:ascii="Garamond" w:eastAsia="Arial" w:hAnsi="Garamond" w:cs="Arial"/>
          <w:lang w:eastAsia="es-ES"/>
        </w:rPr>
        <w:t>SECOP</w:t>
      </w:r>
      <w:proofErr w:type="spellEnd"/>
      <w:r w:rsidRPr="00C04C4B">
        <w:rPr>
          <w:rFonts w:ascii="Garamond" w:eastAsia="Arial" w:hAnsi="Garamond" w:cs="Arial"/>
          <w:lang w:eastAsia="es-ES"/>
        </w:rPr>
        <w:t xml:space="preserve"> II. Así mismo, los interesados deberán acreditar el cumplimiento de los requisitos definidos en el artículo 2.2.1.2.4.2.4 del Decreto 1082 de 2015 y o la norma que lo modifique, sustituya o complemente, para cual diligenciarán el “Formato 14 – Acreditación de </w:t>
      </w:r>
      <w:proofErr w:type="spellStart"/>
      <w:r w:rsidRPr="00C04C4B">
        <w:rPr>
          <w:rFonts w:ascii="Garamond" w:eastAsia="Arial" w:hAnsi="Garamond" w:cs="Arial"/>
          <w:lang w:eastAsia="es-ES"/>
        </w:rPr>
        <w:t>Mipyme</w:t>
      </w:r>
      <w:proofErr w:type="spellEnd"/>
      <w:r w:rsidRPr="00C04C4B">
        <w:rPr>
          <w:rFonts w:ascii="Garamond" w:eastAsia="Arial" w:hAnsi="Garamond" w:cs="Arial"/>
          <w:lang w:eastAsia="es-ES"/>
        </w:rPr>
        <w:t xml:space="preserve">” y aportarán los soportes requeridos para que proceda la limitación de la convocatoria a </w:t>
      </w:r>
      <w:proofErr w:type="spellStart"/>
      <w:r w:rsidRPr="00C04C4B">
        <w:rPr>
          <w:rFonts w:ascii="Garamond" w:eastAsia="Arial" w:hAnsi="Garamond" w:cs="Arial"/>
          <w:lang w:eastAsia="es-ES"/>
        </w:rPr>
        <w:t>Mipyme</w:t>
      </w:r>
      <w:proofErr w:type="spellEnd"/>
      <w:r w:rsidRPr="00C04C4B">
        <w:rPr>
          <w:rFonts w:ascii="Garamond" w:eastAsia="Arial" w:hAnsi="Garamond" w:cs="Arial"/>
          <w:lang w:eastAsia="es-ES"/>
        </w:rPr>
        <w:t xml:space="preserve">. En caso de que la condición de </w:t>
      </w:r>
      <w:proofErr w:type="spellStart"/>
      <w:r w:rsidRPr="00C04C4B">
        <w:rPr>
          <w:rFonts w:ascii="Garamond" w:eastAsia="Arial" w:hAnsi="Garamond" w:cs="Arial"/>
          <w:lang w:eastAsia="es-ES"/>
        </w:rPr>
        <w:t>Mipyme</w:t>
      </w:r>
      <w:proofErr w:type="spellEnd"/>
      <w:r w:rsidRPr="00C04C4B">
        <w:rPr>
          <w:rFonts w:ascii="Garamond" w:eastAsia="Arial" w:hAnsi="Garamond" w:cs="Arial"/>
          <w:lang w:eastAsia="es-ES"/>
        </w:rPr>
        <w:t xml:space="preserve"> se pruebe con la presentación del Registro Único de Proponentes (</w:t>
      </w:r>
      <w:proofErr w:type="spellStart"/>
      <w:r w:rsidRPr="00C04C4B">
        <w:rPr>
          <w:rFonts w:ascii="Garamond" w:eastAsia="Arial" w:hAnsi="Garamond" w:cs="Arial"/>
          <w:lang w:eastAsia="es-ES"/>
        </w:rPr>
        <w:t>RUP</w:t>
      </w:r>
      <w:proofErr w:type="spellEnd"/>
      <w:r w:rsidRPr="00C04C4B">
        <w:rPr>
          <w:rFonts w:ascii="Garamond" w:eastAsia="Arial" w:hAnsi="Garamond" w:cs="Arial"/>
          <w:lang w:eastAsia="es-ES"/>
        </w:rPr>
        <w:t>), en los términos contemplados en el artículo 2.2.1.2.4.2.4 del Decreto 1082 de 2015, no será necesario presentar el formato indicado.</w:t>
      </w:r>
    </w:p>
    <w:p w14:paraId="48E45BED" w14:textId="77777777" w:rsidR="0069424E" w:rsidRPr="00C04C4B" w:rsidRDefault="0069424E" w:rsidP="0069424E">
      <w:pPr>
        <w:ind w:right="49"/>
        <w:jc w:val="both"/>
        <w:rPr>
          <w:rFonts w:ascii="Garamond" w:eastAsia="Arial" w:hAnsi="Garamond" w:cs="Arial"/>
          <w:lang w:eastAsia="es-ES"/>
        </w:rPr>
      </w:pPr>
    </w:p>
    <w:p w14:paraId="7BA773C0" w14:textId="77777777" w:rsidR="0069424E" w:rsidRPr="00C04C4B" w:rsidRDefault="0069424E" w:rsidP="0069424E">
      <w:pPr>
        <w:ind w:right="49"/>
        <w:jc w:val="both"/>
        <w:rPr>
          <w:rFonts w:ascii="Garamond" w:eastAsia="Arial" w:hAnsi="Garamond" w:cs="Arial"/>
          <w:lang w:eastAsia="es-ES"/>
        </w:rPr>
      </w:pPr>
      <w:r w:rsidRPr="00C04C4B">
        <w:rPr>
          <w:rFonts w:ascii="Garamond" w:eastAsia="Arial" w:hAnsi="Garamond" w:cs="Arial"/>
          <w:lang w:eastAsia="es-ES"/>
        </w:rPr>
        <w:t xml:space="preserve">[Para los procesos adelantados en el </w:t>
      </w:r>
      <w:proofErr w:type="spellStart"/>
      <w:r w:rsidRPr="00C04C4B">
        <w:rPr>
          <w:rFonts w:ascii="Garamond" w:eastAsia="Arial" w:hAnsi="Garamond" w:cs="Arial"/>
          <w:lang w:eastAsia="es-ES"/>
        </w:rPr>
        <w:t>SECOP</w:t>
      </w:r>
      <w:proofErr w:type="spellEnd"/>
      <w:r w:rsidRPr="00C04C4B">
        <w:rPr>
          <w:rFonts w:ascii="Garamond" w:eastAsia="Arial" w:hAnsi="Garamond" w:cs="Arial"/>
          <w:lang w:eastAsia="es-ES"/>
        </w:rPr>
        <w:t xml:space="preserve"> II, la Entidad, en atención a las solicitudes realizadas por los interesados para limitar la convocatoria a </w:t>
      </w:r>
      <w:proofErr w:type="spellStart"/>
      <w:r w:rsidRPr="00C04C4B">
        <w:rPr>
          <w:rFonts w:ascii="Garamond" w:eastAsia="Arial" w:hAnsi="Garamond" w:cs="Arial"/>
          <w:lang w:eastAsia="es-ES"/>
        </w:rPr>
        <w:t>Mipyme</w:t>
      </w:r>
      <w:proofErr w:type="spellEnd"/>
      <w:r w:rsidRPr="00C04C4B">
        <w:rPr>
          <w:rFonts w:ascii="Garamond" w:eastAsia="Arial" w:hAnsi="Garamond" w:cs="Arial"/>
          <w:lang w:eastAsia="es-ES"/>
        </w:rPr>
        <w:t xml:space="preserve">, incluirá la limitación del Proceso de Contratación a </w:t>
      </w:r>
      <w:proofErr w:type="spellStart"/>
      <w:r w:rsidRPr="00C04C4B">
        <w:rPr>
          <w:rFonts w:ascii="Garamond" w:eastAsia="Arial" w:hAnsi="Garamond" w:cs="Arial"/>
          <w:lang w:eastAsia="es-ES"/>
        </w:rPr>
        <w:t>Mipyme</w:t>
      </w:r>
      <w:proofErr w:type="spellEnd"/>
      <w:r w:rsidRPr="00C04C4B">
        <w:rPr>
          <w:rFonts w:ascii="Garamond" w:eastAsia="Arial" w:hAnsi="Garamond" w:cs="Arial"/>
          <w:lang w:eastAsia="es-ES"/>
        </w:rPr>
        <w:t xml:space="preserve"> en el espacio dispuesto por la plataforma del </w:t>
      </w:r>
      <w:proofErr w:type="spellStart"/>
      <w:r w:rsidRPr="00C04C4B">
        <w:rPr>
          <w:rFonts w:ascii="Garamond" w:eastAsia="Arial" w:hAnsi="Garamond" w:cs="Arial"/>
          <w:lang w:eastAsia="es-ES"/>
        </w:rPr>
        <w:t>SECOP</w:t>
      </w:r>
      <w:proofErr w:type="spellEnd"/>
      <w:r w:rsidRPr="00C04C4B">
        <w:rPr>
          <w:rFonts w:ascii="Garamond" w:eastAsia="Arial" w:hAnsi="Garamond" w:cs="Arial"/>
          <w:lang w:eastAsia="es-ES"/>
        </w:rPr>
        <w:t xml:space="preserve"> II.]   </w:t>
      </w:r>
    </w:p>
    <w:p w14:paraId="62109917" w14:textId="77777777" w:rsidR="0069424E" w:rsidRPr="00C04C4B" w:rsidRDefault="0069424E" w:rsidP="0069424E">
      <w:pPr>
        <w:ind w:left="708" w:right="624"/>
        <w:jc w:val="both"/>
        <w:rPr>
          <w:rFonts w:ascii="Garamond" w:eastAsia="Arial" w:hAnsi="Garamond" w:cs="Arial"/>
          <w:lang w:eastAsia="es-ES"/>
        </w:rPr>
      </w:pPr>
    </w:p>
    <w:p w14:paraId="31CDE970" w14:textId="77777777" w:rsidR="0069424E" w:rsidRPr="00C04C4B" w:rsidRDefault="0069424E" w:rsidP="00A23238">
      <w:pPr>
        <w:pStyle w:val="Capitulo1"/>
        <w:numPr>
          <w:ilvl w:val="1"/>
          <w:numId w:val="54"/>
        </w:numPr>
        <w:tabs>
          <w:tab w:val="left" w:pos="851"/>
        </w:tabs>
        <w:spacing w:line="240" w:lineRule="auto"/>
        <w:jc w:val="both"/>
        <w:rPr>
          <w:rFonts w:ascii="Garamond" w:eastAsia="Arial" w:hAnsi="Garamond"/>
          <w:color w:val="auto"/>
          <w:sz w:val="22"/>
          <w:szCs w:val="22"/>
        </w:rPr>
      </w:pPr>
      <w:bookmarkStart w:id="31" w:name="_Toc151021869"/>
      <w:bookmarkStart w:id="32" w:name="_Toc151023060"/>
      <w:bookmarkStart w:id="33" w:name="_Toc151023578"/>
      <w:bookmarkStart w:id="34" w:name="_Toc99029270"/>
      <w:bookmarkStart w:id="35" w:name="_Toc99029271"/>
      <w:bookmarkStart w:id="36" w:name="_Toc99029272"/>
      <w:bookmarkStart w:id="37" w:name="_Toc99029273"/>
      <w:bookmarkStart w:id="38" w:name="_Toc99029274"/>
      <w:bookmarkStart w:id="39" w:name="_Toc99029275"/>
      <w:bookmarkStart w:id="40" w:name="_Toc99029276"/>
      <w:bookmarkStart w:id="41" w:name="_Ref25305537"/>
      <w:bookmarkStart w:id="42" w:name="_Toc32147324"/>
      <w:bookmarkStart w:id="43" w:name="_Toc32238846"/>
      <w:bookmarkStart w:id="44" w:name="_Toc35616205"/>
      <w:bookmarkStart w:id="45" w:name="_Toc40113332"/>
      <w:bookmarkStart w:id="46" w:name="_Toc108082895"/>
      <w:bookmarkStart w:id="47" w:name="_Toc228209018"/>
      <w:bookmarkEnd w:id="31"/>
      <w:bookmarkEnd w:id="32"/>
      <w:bookmarkEnd w:id="33"/>
      <w:bookmarkEnd w:id="34"/>
      <w:bookmarkEnd w:id="35"/>
      <w:bookmarkEnd w:id="36"/>
      <w:bookmarkEnd w:id="37"/>
      <w:bookmarkEnd w:id="38"/>
      <w:bookmarkEnd w:id="39"/>
      <w:bookmarkEnd w:id="40"/>
      <w:r w:rsidRPr="00C04C4B">
        <w:rPr>
          <w:rFonts w:ascii="Garamond" w:eastAsia="Arial" w:hAnsi="Garamond"/>
          <w:color w:val="auto"/>
          <w:sz w:val="22"/>
          <w:szCs w:val="22"/>
        </w:rPr>
        <w:t>ELABORACIÓN Y PRESENTACIÓN DE LA OFERTA</w:t>
      </w:r>
      <w:bookmarkEnd w:id="41"/>
      <w:bookmarkEnd w:id="42"/>
      <w:bookmarkEnd w:id="43"/>
      <w:bookmarkEnd w:id="44"/>
      <w:bookmarkEnd w:id="45"/>
      <w:bookmarkEnd w:id="46"/>
      <w:bookmarkEnd w:id="47"/>
    </w:p>
    <w:p w14:paraId="43813E9C" w14:textId="77777777" w:rsidR="0069424E" w:rsidRPr="00C04C4B" w:rsidRDefault="0069424E" w:rsidP="0069424E">
      <w:pPr>
        <w:jc w:val="both"/>
        <w:rPr>
          <w:rFonts w:ascii="Garamond" w:eastAsia="Arial" w:hAnsi="Garamond" w:cs="Arial"/>
        </w:rPr>
      </w:pPr>
      <w:bookmarkStart w:id="48" w:name="_Toc517179745"/>
      <w:bookmarkStart w:id="49" w:name="_Toc517179817"/>
      <w:bookmarkStart w:id="50" w:name="_Toc517179878"/>
      <w:bookmarkStart w:id="51" w:name="_Toc517183475"/>
      <w:bookmarkStart w:id="52" w:name="_Toc517183535"/>
      <w:bookmarkStart w:id="53" w:name="_Toc517187075"/>
      <w:bookmarkStart w:id="54" w:name="_Toc517187222"/>
      <w:bookmarkStart w:id="55" w:name="_Toc517187769"/>
      <w:bookmarkStart w:id="56" w:name="_Toc517187832"/>
      <w:bookmarkEnd w:id="3"/>
      <w:bookmarkEnd w:id="21"/>
      <w:bookmarkEnd w:id="26"/>
      <w:bookmarkEnd w:id="48"/>
      <w:bookmarkEnd w:id="49"/>
      <w:bookmarkEnd w:id="50"/>
      <w:bookmarkEnd w:id="51"/>
      <w:bookmarkEnd w:id="52"/>
      <w:bookmarkEnd w:id="53"/>
      <w:bookmarkEnd w:id="54"/>
      <w:bookmarkEnd w:id="55"/>
      <w:bookmarkEnd w:id="56"/>
      <w:r w:rsidRPr="00C04C4B">
        <w:rPr>
          <w:rFonts w:ascii="Garamond" w:eastAsia="Arial" w:hAnsi="Garamond" w:cs="Arial"/>
        </w:rPr>
        <w:t xml:space="preserve">[Para las Entidades que utilicen el </w:t>
      </w:r>
      <w:proofErr w:type="spellStart"/>
      <w:r w:rsidRPr="00C04C4B">
        <w:rPr>
          <w:rFonts w:ascii="Garamond" w:eastAsia="Arial" w:hAnsi="Garamond" w:cs="Arial"/>
        </w:rPr>
        <w:t>SECOP</w:t>
      </w:r>
      <w:proofErr w:type="spellEnd"/>
      <w:r w:rsidRPr="00C04C4B">
        <w:rPr>
          <w:rFonts w:ascii="Garamond" w:eastAsia="Arial" w:hAnsi="Garamond" w:cs="Arial"/>
        </w:rPr>
        <w:t xml:space="preserve"> II, la presentación de la oferta deberá adaptarse a las condiciones de la plataforma y no será posible allegar documentos en físico] </w:t>
      </w:r>
    </w:p>
    <w:p w14:paraId="76757ABE" w14:textId="77777777" w:rsidR="0069424E" w:rsidRPr="00C04C4B" w:rsidRDefault="0069424E" w:rsidP="0069424E">
      <w:pPr>
        <w:jc w:val="both"/>
        <w:rPr>
          <w:rFonts w:ascii="Garamond" w:hAnsi="Garamond" w:cs="Arial"/>
        </w:rPr>
      </w:pPr>
    </w:p>
    <w:p w14:paraId="13F2B7BF" w14:textId="77777777" w:rsidR="0069424E" w:rsidRPr="00C04C4B" w:rsidRDefault="0069424E" w:rsidP="0069424E">
      <w:pPr>
        <w:jc w:val="both"/>
        <w:rPr>
          <w:rFonts w:ascii="Garamond" w:eastAsia="Arial" w:hAnsi="Garamond" w:cs="Arial"/>
        </w:rPr>
      </w:pPr>
      <w:r w:rsidRPr="00C04C4B">
        <w:rPr>
          <w:rFonts w:ascii="Garamond" w:hAnsi="Garamond" w:cs="Arial"/>
        </w:rPr>
        <w:t>[</w:t>
      </w:r>
      <w:r w:rsidRPr="00C04C4B">
        <w:rPr>
          <w:rFonts w:ascii="Garamond" w:eastAsia="Arial" w:hAnsi="Garamond" w:cs="Arial"/>
        </w:rPr>
        <w:t xml:space="preserve">Para los procesos adelantados en el </w:t>
      </w:r>
      <w:proofErr w:type="spellStart"/>
      <w:r w:rsidRPr="00C04C4B">
        <w:rPr>
          <w:rFonts w:ascii="Garamond" w:eastAsia="Arial" w:hAnsi="Garamond" w:cs="Arial"/>
        </w:rPr>
        <w:t>SECOP</w:t>
      </w:r>
      <w:proofErr w:type="spellEnd"/>
      <w:r w:rsidRPr="00C04C4B">
        <w:rPr>
          <w:rFonts w:ascii="Garamond" w:eastAsia="Arial" w:hAnsi="Garamond" w:cs="Arial"/>
        </w:rPr>
        <w:t xml:space="preserve"> II los documentos se adjuntarán de acuerdo con el orden requerido en el cuestionario por la Entidad, los cuales deben ser legibles y escaneados correctamente.]</w:t>
      </w:r>
      <w:bookmarkStart w:id="57" w:name="_Toc45547572"/>
      <w:bookmarkEnd w:id="57"/>
    </w:p>
    <w:p w14:paraId="617FE371" w14:textId="77777777" w:rsidR="0069424E" w:rsidRPr="00C04C4B" w:rsidRDefault="0069424E" w:rsidP="0069424E">
      <w:pPr>
        <w:jc w:val="both"/>
        <w:rPr>
          <w:rFonts w:ascii="Garamond" w:hAnsi="Garamond"/>
          <w:lang w:val="x-none"/>
        </w:rPr>
      </w:pPr>
    </w:p>
    <w:p w14:paraId="024543B7" w14:textId="4093EACC" w:rsidR="0069424E" w:rsidRPr="00C04C4B" w:rsidRDefault="0069424E" w:rsidP="0069424E">
      <w:pPr>
        <w:jc w:val="both"/>
        <w:rPr>
          <w:rFonts w:ascii="Garamond" w:hAnsi="Garamond" w:cs="Arial"/>
          <w:lang w:val="x-none"/>
        </w:rPr>
      </w:pPr>
      <w:bookmarkStart w:id="58" w:name="_Toc45547573"/>
      <w:bookmarkEnd w:id="58"/>
      <w:r w:rsidRPr="00C04C4B">
        <w:rPr>
          <w:rFonts w:ascii="Garamond" w:hAnsi="Garamond" w:cs="Arial"/>
        </w:rPr>
        <w:t xml:space="preserve">La Entidad solo recibirá una oferta por Proponente, En caso de presentarse para varios Procesos de Contratación con la Entidad, el Proponente deberá </w:t>
      </w:r>
      <w:r w:rsidRPr="00C04C4B">
        <w:rPr>
          <w:rFonts w:ascii="Garamond" w:hAnsi="Garamond" w:cs="Arial"/>
          <w:lang w:val="es-MX"/>
        </w:rPr>
        <w:t>indicar expresamente</w:t>
      </w:r>
      <w:r w:rsidRPr="00C04C4B">
        <w:rPr>
          <w:rFonts w:ascii="Garamond" w:hAnsi="Garamond" w:cs="Arial"/>
        </w:rPr>
        <w:t xml:space="preserve"> para </w:t>
      </w:r>
      <w:r w:rsidRPr="00C04C4B">
        <w:rPr>
          <w:rFonts w:ascii="Garamond" w:hAnsi="Garamond" w:cs="Arial"/>
          <w:lang w:val="es-MX"/>
        </w:rPr>
        <w:t>cuál proceso</w:t>
      </w:r>
      <w:r w:rsidRPr="00C04C4B">
        <w:rPr>
          <w:rFonts w:ascii="Garamond" w:hAnsi="Garamond" w:cs="Arial"/>
        </w:rPr>
        <w:t xml:space="preserve"> allega su </w:t>
      </w:r>
      <w:r w:rsidRPr="00C04C4B">
        <w:rPr>
          <w:rFonts w:ascii="Garamond" w:hAnsi="Garamond" w:cs="Arial"/>
        </w:rPr>
        <w:lastRenderedPageBreak/>
        <w:t xml:space="preserve">ofrecimiento. La </w:t>
      </w:r>
      <w:r w:rsidRPr="00C04C4B">
        <w:rPr>
          <w:rFonts w:ascii="Garamond" w:hAnsi="Garamond" w:cs="Arial"/>
          <w:lang w:val="es-MX"/>
        </w:rPr>
        <w:t>radicación</w:t>
      </w:r>
      <w:r w:rsidRPr="00C04C4B">
        <w:rPr>
          <w:rFonts w:ascii="Garamond" w:hAnsi="Garamond" w:cs="Arial"/>
        </w:rPr>
        <w:t xml:space="preserve"> de la propuesta implica la aceptación y conocimiento de la legislación colombiana acerca de los temas objeto del Proceso</w:t>
      </w:r>
      <w:r w:rsidRPr="00C04C4B">
        <w:rPr>
          <w:rFonts w:ascii="Garamond" w:hAnsi="Garamond" w:cs="Arial"/>
          <w:lang w:val="es-MX"/>
        </w:rPr>
        <w:t xml:space="preserve"> de Contratación</w:t>
      </w:r>
      <w:r w:rsidRPr="00C04C4B">
        <w:rPr>
          <w:rFonts w:ascii="Garamond" w:hAnsi="Garamond" w:cs="Arial"/>
        </w:rPr>
        <w:t xml:space="preserve"> y de todas las condiciones y obligaciones contenidas en el mismo. [Adicionalmente</w:t>
      </w:r>
      <w:r w:rsidRPr="00C04C4B">
        <w:rPr>
          <w:rFonts w:ascii="Garamond" w:hAnsi="Garamond" w:cs="Arial"/>
          <w:lang w:val="es-MX"/>
        </w:rPr>
        <w:t xml:space="preserve">, </w:t>
      </w:r>
      <w:r w:rsidRPr="00C04C4B">
        <w:rPr>
          <w:rFonts w:ascii="Garamond" w:hAnsi="Garamond" w:cs="Arial"/>
        </w:rPr>
        <w:t xml:space="preserve">si se hace a través del </w:t>
      </w:r>
      <w:proofErr w:type="spellStart"/>
      <w:r w:rsidRPr="00C04C4B">
        <w:rPr>
          <w:rFonts w:ascii="Garamond" w:hAnsi="Garamond" w:cs="Arial"/>
        </w:rPr>
        <w:t>SECOP</w:t>
      </w:r>
      <w:proofErr w:type="spellEnd"/>
      <w:r w:rsidRPr="00C04C4B">
        <w:rPr>
          <w:rFonts w:ascii="Garamond" w:hAnsi="Garamond" w:cs="Arial"/>
        </w:rPr>
        <w:t xml:space="preserve"> II, el Proponente deberá cumplir con el Manual de Usos y Condiciones de la plataforma]</w:t>
      </w:r>
      <w:bookmarkStart w:id="59" w:name="_Toc45547574"/>
      <w:bookmarkEnd w:id="59"/>
    </w:p>
    <w:p w14:paraId="364378E8" w14:textId="77777777" w:rsidR="0069424E" w:rsidRPr="00C04C4B" w:rsidRDefault="0069424E" w:rsidP="0069424E">
      <w:pPr>
        <w:jc w:val="both"/>
        <w:rPr>
          <w:rFonts w:ascii="Garamond" w:hAnsi="Garamond" w:cs="Arial"/>
          <w:lang w:val="x-none"/>
        </w:rPr>
      </w:pPr>
      <w:bookmarkStart w:id="60" w:name="_Toc45547575"/>
      <w:bookmarkEnd w:id="60"/>
    </w:p>
    <w:p w14:paraId="55822351" w14:textId="77777777" w:rsidR="0069424E" w:rsidRPr="00C04C4B" w:rsidRDefault="0069424E" w:rsidP="0069424E">
      <w:pPr>
        <w:jc w:val="both"/>
        <w:rPr>
          <w:rFonts w:ascii="Garamond" w:hAnsi="Garamond" w:cs="Arial"/>
          <w:lang w:val="x-none"/>
        </w:rPr>
      </w:pPr>
      <w:r w:rsidRPr="00C04C4B">
        <w:rPr>
          <w:rFonts w:ascii="Garamond" w:hAnsi="Garamond" w:cs="Arial"/>
        </w:rPr>
        <w:t xml:space="preserve">Estarán a cargo del Proponente todos los costos asociados a la elaboración y presentación de su oferta y en ningún caso </w:t>
      </w:r>
      <w:r w:rsidRPr="00C04C4B">
        <w:rPr>
          <w:rFonts w:ascii="Garamond" w:hAnsi="Garamond" w:cs="Arial"/>
          <w:lang w:val="es-MX"/>
        </w:rPr>
        <w:t xml:space="preserve">la Entidad </w:t>
      </w:r>
      <w:r w:rsidRPr="00C04C4B">
        <w:rPr>
          <w:rFonts w:ascii="Garamond" w:hAnsi="Garamond" w:cs="Arial"/>
        </w:rPr>
        <w:t xml:space="preserve">será responsable de </w:t>
      </w:r>
      <w:r w:rsidRPr="00C04C4B">
        <w:rPr>
          <w:rFonts w:ascii="Garamond" w:hAnsi="Garamond" w:cs="Arial"/>
          <w:lang w:val="es-MX"/>
        </w:rPr>
        <w:t>ellos</w:t>
      </w:r>
      <w:r w:rsidRPr="00C04C4B">
        <w:rPr>
          <w:rFonts w:ascii="Garamond" w:hAnsi="Garamond" w:cs="Arial"/>
        </w:rPr>
        <w:t>.</w:t>
      </w:r>
      <w:bookmarkStart w:id="61" w:name="_Toc45547576"/>
      <w:bookmarkEnd w:id="61"/>
    </w:p>
    <w:p w14:paraId="7C91AC65" w14:textId="77777777" w:rsidR="0069424E" w:rsidRPr="00C04C4B" w:rsidRDefault="0069424E" w:rsidP="0069424E">
      <w:pPr>
        <w:rPr>
          <w:rFonts w:ascii="Garamond" w:hAnsi="Garamond" w:cs="Arial"/>
          <w:lang w:val="x-none"/>
        </w:rPr>
      </w:pPr>
      <w:bookmarkStart w:id="62" w:name="_Toc45547577"/>
      <w:bookmarkEnd w:id="62"/>
    </w:p>
    <w:p w14:paraId="7B8F93F3" w14:textId="77777777" w:rsidR="0069424E" w:rsidRPr="00C04C4B" w:rsidRDefault="0069424E" w:rsidP="0069424E">
      <w:pPr>
        <w:jc w:val="both"/>
        <w:rPr>
          <w:rFonts w:ascii="Garamond" w:eastAsia="Arial" w:hAnsi="Garamond" w:cs="Arial"/>
          <w:lang w:val="es-MX"/>
        </w:rPr>
      </w:pPr>
      <w:bookmarkStart w:id="63" w:name="_Toc45547578"/>
      <w:bookmarkEnd w:id="63"/>
      <w:r w:rsidRPr="00C04C4B">
        <w:rPr>
          <w:rFonts w:ascii="Garamond" w:hAnsi="Garamond" w:cs="Arial"/>
          <w:lang w:val="es-MX"/>
        </w:rPr>
        <w:t>Las tachaduras y/o enmendaduras sobre alguno de los documentos que acreditan los requisitos habilitantes o los factores de evaluación de la oferta, deberán estar avalados con la firma de quien suscribe el correspondiente documento al pie de la misma, y con una nota al margen donde manifieste clara y expresamente la corrección realizada.</w:t>
      </w:r>
    </w:p>
    <w:p w14:paraId="4E2BDBD2" w14:textId="77777777" w:rsidR="0069424E" w:rsidRPr="00C04C4B" w:rsidRDefault="0069424E" w:rsidP="0069424E">
      <w:pPr>
        <w:jc w:val="both"/>
        <w:rPr>
          <w:rFonts w:ascii="Garamond" w:eastAsia="Arial" w:hAnsi="Garamond" w:cs="Arial"/>
        </w:rPr>
      </w:pPr>
      <w:bookmarkStart w:id="64" w:name="_Toc45547579"/>
      <w:bookmarkEnd w:id="64"/>
    </w:p>
    <w:p w14:paraId="4C4D83E5" w14:textId="779C41C4" w:rsidR="0069424E" w:rsidRPr="00C04C4B" w:rsidRDefault="0069424E" w:rsidP="00A23238">
      <w:pPr>
        <w:pStyle w:val="Capitulo1"/>
        <w:numPr>
          <w:ilvl w:val="1"/>
          <w:numId w:val="54"/>
        </w:numPr>
        <w:tabs>
          <w:tab w:val="left" w:pos="851"/>
        </w:tabs>
        <w:spacing w:line="240" w:lineRule="auto"/>
        <w:jc w:val="both"/>
        <w:rPr>
          <w:rFonts w:ascii="Garamond" w:eastAsia="Arial" w:hAnsi="Garamond"/>
          <w:color w:val="auto"/>
          <w:sz w:val="22"/>
          <w:szCs w:val="22"/>
        </w:rPr>
      </w:pPr>
      <w:bookmarkStart w:id="65" w:name="_Toc108082896"/>
      <w:bookmarkStart w:id="66" w:name="_Toc228209019"/>
      <w:r w:rsidRPr="00C04C4B">
        <w:rPr>
          <w:rFonts w:ascii="Garamond" w:eastAsia="Arial" w:hAnsi="Garamond"/>
          <w:color w:val="auto"/>
          <w:sz w:val="22"/>
          <w:szCs w:val="22"/>
        </w:rPr>
        <w:t>CIERRE DEL PROCESO Y APERTURA DE OFERTAS</w:t>
      </w:r>
      <w:bookmarkStart w:id="67" w:name="_Toc35616206"/>
      <w:bookmarkStart w:id="68" w:name="_Toc35616533"/>
      <w:bookmarkStart w:id="69" w:name="_Toc35616207"/>
      <w:bookmarkStart w:id="70" w:name="_Toc35616534"/>
      <w:bookmarkStart w:id="71" w:name="_Toc35616208"/>
      <w:bookmarkStart w:id="72" w:name="_Toc35616535"/>
      <w:bookmarkStart w:id="73" w:name="_Toc35616209"/>
      <w:bookmarkStart w:id="74" w:name="_Toc35616536"/>
      <w:bookmarkStart w:id="75" w:name="_Toc35616210"/>
      <w:bookmarkStart w:id="76" w:name="_Toc35616537"/>
      <w:bookmarkStart w:id="77" w:name="_Toc35616211"/>
      <w:bookmarkStart w:id="78" w:name="_Toc35616538"/>
      <w:bookmarkStart w:id="79" w:name="_Toc35616212"/>
      <w:bookmarkStart w:id="80" w:name="_Toc35616539"/>
      <w:bookmarkStart w:id="81" w:name="_Toc35616213"/>
      <w:bookmarkStart w:id="82" w:name="_Toc35616540"/>
      <w:bookmarkStart w:id="83" w:name="_Toc35616214"/>
      <w:bookmarkStart w:id="84" w:name="_Toc35616541"/>
      <w:bookmarkStart w:id="85" w:name="_Toc35616215"/>
      <w:bookmarkStart w:id="86" w:name="_Toc35616542"/>
      <w:bookmarkStart w:id="87" w:name="_Toc35616216"/>
      <w:bookmarkStart w:id="88" w:name="_Toc35616543"/>
      <w:bookmarkStart w:id="89" w:name="_Toc35616217"/>
      <w:bookmarkStart w:id="90" w:name="_Toc35616544"/>
      <w:bookmarkStart w:id="91" w:name="_Toc35616218"/>
      <w:bookmarkStart w:id="92" w:name="_Toc35616545"/>
      <w:bookmarkStart w:id="93" w:name="_Toc35616219"/>
      <w:bookmarkStart w:id="94" w:name="_Toc35616546"/>
      <w:bookmarkStart w:id="95" w:name="_Toc35616220"/>
      <w:bookmarkStart w:id="96" w:name="_Toc35616547"/>
      <w:bookmarkStart w:id="97" w:name="_Toc35616221"/>
      <w:bookmarkStart w:id="98" w:name="_Toc35616548"/>
      <w:bookmarkStart w:id="99" w:name="_Toc35616222"/>
      <w:bookmarkStart w:id="100" w:name="_Toc35616549"/>
      <w:bookmarkStart w:id="101" w:name="_Toc35616223"/>
      <w:bookmarkStart w:id="102" w:name="_Toc35616550"/>
      <w:bookmarkStart w:id="103" w:name="_Toc35616224"/>
      <w:bookmarkStart w:id="104" w:name="_Toc35616551"/>
      <w:bookmarkStart w:id="105" w:name="_Toc471839115"/>
      <w:bookmarkStart w:id="106" w:name="_Toc504124513"/>
      <w:bookmarkStart w:id="107" w:name="_Toc508648262"/>
      <w:bookmarkStart w:id="108" w:name="_Toc508984046"/>
      <w:bookmarkStart w:id="109" w:name="_Toc509843877"/>
      <w:bookmarkStart w:id="110" w:name="_Toc511924785"/>
      <w:bookmarkStart w:id="111" w:name="_Toc520226874"/>
      <w:bookmarkStart w:id="112" w:name="_Toc520297844"/>
      <w:bookmarkStart w:id="113" w:name="_Toc520317109"/>
      <w:bookmarkStart w:id="114" w:name="_Toc533083710"/>
      <w:bookmarkStart w:id="115" w:name="_Toc35616225"/>
      <w:bookmarkStart w:id="116" w:name="_Toc40113333"/>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4C9CDF1" w14:textId="77777777" w:rsidR="0069424E" w:rsidRPr="00C04C4B" w:rsidRDefault="0069424E" w:rsidP="0069424E">
      <w:pPr>
        <w:jc w:val="both"/>
        <w:rPr>
          <w:rFonts w:ascii="Garamond" w:eastAsia="Arial" w:hAnsi="Garamond" w:cs="Arial"/>
        </w:rPr>
      </w:pPr>
      <w:r w:rsidRPr="00C04C4B">
        <w:rPr>
          <w:rFonts w:ascii="Garamond" w:eastAsia="Arial" w:hAnsi="Garamond" w:cs="Arial"/>
        </w:rPr>
        <w:t xml:space="preserve">Se entienden recibidas por la Entidad las ofertas que se encuentren en la plataforma del </w:t>
      </w:r>
      <w:proofErr w:type="spellStart"/>
      <w:r w:rsidRPr="00C04C4B">
        <w:rPr>
          <w:rFonts w:ascii="Garamond" w:eastAsia="Arial" w:hAnsi="Garamond" w:cs="Arial"/>
        </w:rPr>
        <w:t>SECOP</w:t>
      </w:r>
      <w:proofErr w:type="spellEnd"/>
      <w:r w:rsidRPr="00C04C4B">
        <w:rPr>
          <w:rFonts w:ascii="Garamond" w:eastAsia="Arial" w:hAnsi="Garamond" w:cs="Arial"/>
        </w:rPr>
        <w:t xml:space="preserve"> II a la fecha y hora indicada en el Cronograma del proceso, después de este momento, el </w:t>
      </w:r>
      <w:proofErr w:type="spellStart"/>
      <w:r w:rsidRPr="00C04C4B">
        <w:rPr>
          <w:rFonts w:ascii="Garamond" w:eastAsia="Arial" w:hAnsi="Garamond" w:cs="Arial"/>
        </w:rPr>
        <w:t>SECOP</w:t>
      </w:r>
      <w:proofErr w:type="spellEnd"/>
      <w:r w:rsidRPr="00C04C4B">
        <w:rPr>
          <w:rFonts w:ascii="Garamond" w:eastAsia="Arial" w:hAnsi="Garamond" w:cs="Arial"/>
        </w:rPr>
        <w:t xml:space="preserve"> II no permitirá recibir más propuestas por excederse del tiempo señalado en el Cronograma.</w:t>
      </w:r>
    </w:p>
    <w:p w14:paraId="5CEE8A04" w14:textId="77777777" w:rsidR="0069424E" w:rsidRPr="00C04C4B" w:rsidRDefault="0069424E" w:rsidP="0069424E">
      <w:pPr>
        <w:jc w:val="both"/>
        <w:rPr>
          <w:rFonts w:ascii="Garamond" w:eastAsia="Arial" w:hAnsi="Garamond" w:cs="Arial"/>
        </w:rPr>
      </w:pPr>
    </w:p>
    <w:p w14:paraId="463191C5" w14:textId="77777777" w:rsidR="0069424E" w:rsidRPr="00C04C4B" w:rsidRDefault="0069424E" w:rsidP="0069424E">
      <w:pPr>
        <w:jc w:val="both"/>
        <w:rPr>
          <w:rFonts w:ascii="Garamond" w:eastAsia="Arial" w:hAnsi="Garamond" w:cs="Arial"/>
        </w:rPr>
      </w:pPr>
      <w:r w:rsidRPr="00C04C4B">
        <w:rPr>
          <w:rFonts w:ascii="Garamond" w:eastAsia="Arial" w:hAnsi="Garamond" w:cs="Arial"/>
        </w:rPr>
        <w:t xml:space="preserve">Vencido el término para presentar ofertas, la Entidad Estatal debe realizar su apertura y publicar la lista de oferentes. Luego de la apertura, las propuestas deberán ser publicadas y públicas y cualquier persona puede consultarlas, para ello la Entidad dará a conocer las ofertas presentadas en el Proceso de Contratación haciendo clic en la opción “publicar ofertas”, para que sean visibles a todos los Proponentes y los interesados en el proceso, </w:t>
      </w:r>
      <w:r w:rsidRPr="00C04C4B">
        <w:rPr>
          <w:rFonts w:ascii="Garamond" w:eastAsia="Arial" w:hAnsi="Garamond" w:cs="Arial"/>
          <w:u w:val="single"/>
        </w:rPr>
        <w:t>desde el momento que la Entidad dio apertura a las propuestas rechazadas</w:t>
      </w:r>
      <w:r w:rsidRPr="00C04C4B">
        <w:rPr>
          <w:rFonts w:ascii="Garamond" w:eastAsia="Arial" w:hAnsi="Garamond" w:cs="Arial"/>
        </w:rPr>
        <w:t>.</w:t>
      </w:r>
    </w:p>
    <w:p w14:paraId="76B215FE" w14:textId="77777777" w:rsidR="0069424E" w:rsidRPr="00C04C4B" w:rsidRDefault="0069424E" w:rsidP="0069424E">
      <w:pPr>
        <w:jc w:val="both"/>
        <w:rPr>
          <w:rFonts w:ascii="Garamond" w:eastAsia="Arial" w:hAnsi="Garamond" w:cs="Arial"/>
        </w:rPr>
      </w:pPr>
    </w:p>
    <w:p w14:paraId="2902B2E7" w14:textId="77777777" w:rsidR="0069424E" w:rsidRPr="00C04C4B" w:rsidRDefault="0069424E" w:rsidP="0069424E">
      <w:pPr>
        <w:jc w:val="both"/>
        <w:rPr>
          <w:rFonts w:ascii="Garamond" w:eastAsia="Arial" w:hAnsi="Garamond" w:cs="Arial"/>
        </w:rPr>
      </w:pPr>
      <w:r w:rsidRPr="00C04C4B">
        <w:rPr>
          <w:rFonts w:ascii="Garamond" w:eastAsia="Arial" w:hAnsi="Garamond" w:cs="Arial"/>
        </w:rPr>
        <w:t xml:space="preserve">Se darán por no presentadas todas las propuestas que no hayan sido entregadas en la plataforma y en el plazo previsto para ello en el Pliego de Condiciones. No se tendrán como recibidas las ofertas allegadas por medios distintos al </w:t>
      </w:r>
      <w:proofErr w:type="spellStart"/>
      <w:r w:rsidRPr="00C04C4B">
        <w:rPr>
          <w:rFonts w:ascii="Garamond" w:eastAsia="Arial" w:hAnsi="Garamond" w:cs="Arial"/>
        </w:rPr>
        <w:t>SECOP</w:t>
      </w:r>
      <w:proofErr w:type="spellEnd"/>
      <w:r w:rsidRPr="00C04C4B">
        <w:rPr>
          <w:rFonts w:ascii="Garamond" w:eastAsia="Arial" w:hAnsi="Garamond" w:cs="Arial"/>
        </w:rPr>
        <w:t xml:space="preserve"> II, para asegurar la efectiva transmisión de datos y garantizar el cumplimiento estricto de los Términos y Condiciones de Uso del </w:t>
      </w:r>
      <w:proofErr w:type="spellStart"/>
      <w:r w:rsidRPr="00C04C4B">
        <w:rPr>
          <w:rFonts w:ascii="Garamond" w:eastAsia="Arial" w:hAnsi="Garamond" w:cs="Arial"/>
        </w:rPr>
        <w:t>SECOP</w:t>
      </w:r>
      <w:proofErr w:type="spellEnd"/>
      <w:r w:rsidRPr="00C04C4B">
        <w:rPr>
          <w:rFonts w:ascii="Garamond" w:eastAsia="Arial" w:hAnsi="Garamond" w:cs="Arial"/>
        </w:rPr>
        <w:t xml:space="preserve"> II, s</w:t>
      </w:r>
      <w:r w:rsidRPr="00C04C4B">
        <w:rPr>
          <w:rFonts w:ascii="Garamond" w:eastAsia="Arial" w:hAnsi="Garamond" w:cs="Arial"/>
          <w:lang w:eastAsia="en-US"/>
        </w:rPr>
        <w:t xml:space="preserve">in embargo, cuando ocurra una indisponibilidad del </w:t>
      </w:r>
      <w:proofErr w:type="spellStart"/>
      <w:r w:rsidRPr="00C04C4B">
        <w:rPr>
          <w:rFonts w:ascii="Garamond" w:eastAsia="Arial" w:hAnsi="Garamond" w:cs="Arial"/>
          <w:lang w:eastAsia="en-US"/>
        </w:rPr>
        <w:t>SECOP</w:t>
      </w:r>
      <w:proofErr w:type="spellEnd"/>
      <w:r w:rsidRPr="00C04C4B">
        <w:rPr>
          <w:rFonts w:ascii="Garamond" w:eastAsia="Arial" w:hAnsi="Garamond" w:cs="Arial"/>
          <w:lang w:eastAsia="en-US"/>
        </w:rPr>
        <w:t xml:space="preserve"> II, que haya sido confirmada por la Agencia Nacional de Contratación Pública - Colombia Compra Eficiente, mediante certificado de indisponibilidad, la Entidad podrá recibir ofertas en los términos y condiciones establecidos en el “Protocolo para actuar ante una indisponibilidad del </w:t>
      </w:r>
      <w:proofErr w:type="spellStart"/>
      <w:r w:rsidRPr="00C04C4B">
        <w:rPr>
          <w:rFonts w:ascii="Garamond" w:eastAsia="Arial" w:hAnsi="Garamond" w:cs="Arial"/>
          <w:lang w:eastAsia="en-US"/>
        </w:rPr>
        <w:t>SECOP</w:t>
      </w:r>
      <w:proofErr w:type="spellEnd"/>
      <w:r w:rsidRPr="00C04C4B">
        <w:rPr>
          <w:rFonts w:ascii="Garamond" w:eastAsia="Arial" w:hAnsi="Garamond" w:cs="Arial"/>
          <w:lang w:eastAsia="en-US"/>
        </w:rPr>
        <w:t xml:space="preserve"> II” o en el documento que Colombia Compra Eficiente determine para ello. [Puede consultarlo en el siguiente</w:t>
      </w:r>
      <w:r w:rsidRPr="00C04C4B">
        <w:rPr>
          <w:rFonts w:ascii="Garamond" w:eastAsia="Arial" w:hAnsi="Garamond" w:cs="Arial"/>
        </w:rPr>
        <w:t xml:space="preserve"> enlace: </w:t>
      </w:r>
      <w:hyperlink r:id="rId19">
        <w:r w:rsidRPr="00C04C4B">
          <w:rPr>
            <w:rStyle w:val="Hipervnculo"/>
            <w:rFonts w:ascii="Garamond" w:eastAsia="Arial" w:hAnsi="Garamond" w:cs="Arial"/>
          </w:rPr>
          <w:t>https://www.colombiacompra.gov.co/secop-ii/indisponibilidad-en-el-secop-ii</w:t>
        </w:r>
      </w:hyperlink>
      <w:r w:rsidRPr="00C04C4B">
        <w:rPr>
          <w:rFonts w:ascii="Garamond" w:eastAsia="Arial" w:hAnsi="Garamond" w:cs="Arial"/>
          <w:lang w:eastAsia="en-US"/>
        </w:rPr>
        <w:t>]</w:t>
      </w:r>
    </w:p>
    <w:p w14:paraId="679604AF" w14:textId="77777777" w:rsidR="0069424E" w:rsidRPr="00C04C4B" w:rsidRDefault="0069424E" w:rsidP="0069424E">
      <w:pPr>
        <w:pStyle w:val="InviasNormal"/>
        <w:spacing w:before="0" w:after="0"/>
        <w:jc w:val="both"/>
        <w:rPr>
          <w:rFonts w:ascii="Garamond" w:eastAsia="Arial" w:hAnsi="Garamond" w:cs="Arial"/>
          <w:sz w:val="22"/>
          <w:szCs w:val="22"/>
          <w:lang w:val="es-CO"/>
        </w:rPr>
      </w:pPr>
    </w:p>
    <w:p w14:paraId="013E9355" w14:textId="77777777" w:rsidR="0069424E" w:rsidRPr="00C04C4B" w:rsidRDefault="0069424E" w:rsidP="0069424E">
      <w:pPr>
        <w:pStyle w:val="InviasNormal"/>
        <w:spacing w:before="0" w:after="0"/>
        <w:jc w:val="both"/>
        <w:rPr>
          <w:rFonts w:ascii="Garamond" w:eastAsia="Arial" w:hAnsi="Garamond" w:cs="Arial"/>
          <w:sz w:val="22"/>
          <w:szCs w:val="22"/>
          <w:lang w:val="es-CO"/>
        </w:rPr>
      </w:pPr>
      <w:r w:rsidRPr="00C04C4B">
        <w:rPr>
          <w:rFonts w:ascii="Garamond" w:eastAsia="Arial" w:hAnsi="Garamond" w:cs="Arial"/>
          <w:sz w:val="22"/>
          <w:szCs w:val="22"/>
          <w:lang w:val="es-CO"/>
        </w:rPr>
        <w:t>La Entidad no será responsable por abrir el Sobre incorrectamente dirigido o sin la identificación adecuada.</w:t>
      </w:r>
    </w:p>
    <w:p w14:paraId="58A6CA9E" w14:textId="77777777" w:rsidR="0069424E" w:rsidRPr="00C04C4B" w:rsidRDefault="0069424E" w:rsidP="0069424E">
      <w:pPr>
        <w:pStyle w:val="InviasNormal"/>
        <w:spacing w:before="0" w:after="0"/>
        <w:jc w:val="both"/>
        <w:rPr>
          <w:rFonts w:ascii="Garamond" w:eastAsia="Arial" w:hAnsi="Garamond" w:cs="Arial"/>
          <w:sz w:val="22"/>
          <w:szCs w:val="22"/>
          <w:lang w:val="es-CO"/>
        </w:rPr>
      </w:pPr>
    </w:p>
    <w:p w14:paraId="11B7E5B8" w14:textId="77777777" w:rsidR="0069424E" w:rsidRPr="00C04C4B" w:rsidRDefault="0069424E" w:rsidP="00A23238">
      <w:pPr>
        <w:pStyle w:val="Capitulo1"/>
        <w:numPr>
          <w:ilvl w:val="1"/>
          <w:numId w:val="54"/>
        </w:numPr>
        <w:tabs>
          <w:tab w:val="left" w:pos="851"/>
        </w:tabs>
        <w:spacing w:line="240" w:lineRule="auto"/>
        <w:jc w:val="both"/>
        <w:rPr>
          <w:rFonts w:ascii="Garamond" w:eastAsia="Arial" w:hAnsi="Garamond"/>
          <w:color w:val="auto"/>
          <w:sz w:val="22"/>
          <w:szCs w:val="22"/>
        </w:rPr>
      </w:pPr>
      <w:bookmarkStart w:id="117" w:name="_Toc35616226"/>
      <w:bookmarkStart w:id="118" w:name="_Toc35616553"/>
      <w:bookmarkStart w:id="119" w:name="_Toc35616227"/>
      <w:bookmarkStart w:id="120" w:name="_Toc35616554"/>
      <w:bookmarkStart w:id="121" w:name="_Toc35616228"/>
      <w:bookmarkStart w:id="122" w:name="_Toc35616555"/>
      <w:bookmarkStart w:id="123" w:name="_Toc35616229"/>
      <w:bookmarkStart w:id="124" w:name="_Toc35616556"/>
      <w:bookmarkStart w:id="125" w:name="_Toc35616230"/>
      <w:bookmarkStart w:id="126" w:name="_Toc35616557"/>
      <w:bookmarkStart w:id="127" w:name="_Toc35616231"/>
      <w:bookmarkStart w:id="128" w:name="_Toc35616558"/>
      <w:bookmarkStart w:id="129" w:name="_Toc108082897"/>
      <w:bookmarkStart w:id="130" w:name="_Toc35616232"/>
      <w:bookmarkStart w:id="131" w:name="_Toc40113334"/>
      <w:bookmarkStart w:id="132" w:name="_Toc228209020"/>
      <w:bookmarkEnd w:id="117"/>
      <w:bookmarkEnd w:id="118"/>
      <w:bookmarkEnd w:id="119"/>
      <w:bookmarkEnd w:id="120"/>
      <w:bookmarkEnd w:id="121"/>
      <w:bookmarkEnd w:id="122"/>
      <w:bookmarkEnd w:id="123"/>
      <w:bookmarkEnd w:id="124"/>
      <w:bookmarkEnd w:id="125"/>
      <w:bookmarkEnd w:id="126"/>
      <w:bookmarkEnd w:id="127"/>
      <w:bookmarkEnd w:id="128"/>
      <w:r w:rsidRPr="00C04C4B">
        <w:rPr>
          <w:rFonts w:ascii="Garamond" w:eastAsia="Arial" w:hAnsi="Garamond"/>
          <w:color w:val="auto"/>
          <w:sz w:val="22"/>
          <w:szCs w:val="22"/>
        </w:rPr>
        <w:lastRenderedPageBreak/>
        <w:t>INFORME DE EVALUACIÓN</w:t>
      </w:r>
      <w:bookmarkEnd w:id="129"/>
      <w:bookmarkEnd w:id="132"/>
      <w:r w:rsidRPr="00C04C4B">
        <w:rPr>
          <w:rFonts w:ascii="Garamond" w:eastAsia="Arial" w:hAnsi="Garamond"/>
          <w:color w:val="auto"/>
          <w:sz w:val="22"/>
          <w:szCs w:val="22"/>
        </w:rPr>
        <w:t xml:space="preserve"> </w:t>
      </w:r>
      <w:bookmarkEnd w:id="130"/>
      <w:bookmarkEnd w:id="131"/>
    </w:p>
    <w:p w14:paraId="56F48C60" w14:textId="77777777" w:rsidR="0069424E" w:rsidRPr="00C04C4B" w:rsidRDefault="0069424E" w:rsidP="0069424E">
      <w:pPr>
        <w:pStyle w:val="InviasNormal"/>
        <w:jc w:val="both"/>
        <w:rPr>
          <w:rFonts w:ascii="Garamond" w:eastAsia="Arial" w:hAnsi="Garamond" w:cs="Arial"/>
          <w:sz w:val="22"/>
          <w:szCs w:val="22"/>
          <w:lang w:val="es-CO" w:eastAsia="es-CO"/>
        </w:rPr>
      </w:pPr>
      <w:r w:rsidRPr="00C04C4B">
        <w:rPr>
          <w:rFonts w:ascii="Garamond" w:eastAsia="Arial" w:hAnsi="Garamond" w:cs="Arial"/>
          <w:sz w:val="22"/>
          <w:szCs w:val="22"/>
          <w:lang w:val="es-CO" w:eastAsia="es-CO"/>
        </w:rPr>
        <w:t>En la fecha establecida en el “Anexo 2 – Cronograma”, la Entidad publicará el informe</w:t>
      </w:r>
      <w:r w:rsidRPr="00C04C4B">
        <w:rPr>
          <w:rFonts w:ascii="Garamond" w:eastAsia="Arial" w:hAnsi="Garamond" w:cs="Arial"/>
          <w:sz w:val="22"/>
          <w:szCs w:val="22"/>
          <w:lang w:val="es-ES"/>
        </w:rPr>
        <w:t xml:space="preserve"> de </w:t>
      </w:r>
      <w:r w:rsidRPr="00C04C4B">
        <w:rPr>
          <w:rFonts w:ascii="Garamond" w:eastAsia="Arial" w:hAnsi="Garamond" w:cs="Arial"/>
          <w:sz w:val="22"/>
          <w:szCs w:val="22"/>
          <w:lang w:val="es-CO" w:eastAsia="es-CO"/>
        </w:rPr>
        <w:t>evaluación, el cual debe contener la valoración de las ofertas frente a todos los requisitos exigidos en el Pliego de Condiciones, incluyendo los requisitos habilitantes y los de asignación de puntaje.</w:t>
      </w:r>
    </w:p>
    <w:p w14:paraId="7EBA121E" w14:textId="77777777" w:rsidR="0069424E" w:rsidRPr="00C04C4B" w:rsidRDefault="0069424E" w:rsidP="0069424E">
      <w:pPr>
        <w:pStyle w:val="InviasNormal"/>
        <w:jc w:val="both"/>
        <w:rPr>
          <w:rFonts w:ascii="Garamond" w:eastAsia="Arial" w:hAnsi="Garamond" w:cs="Arial"/>
          <w:sz w:val="22"/>
          <w:szCs w:val="22"/>
          <w:lang w:val="es-CO" w:eastAsia="es-CO"/>
        </w:rPr>
      </w:pPr>
      <w:r w:rsidRPr="00C04C4B">
        <w:rPr>
          <w:rFonts w:ascii="Garamond" w:eastAsia="Arial" w:hAnsi="Garamond" w:cs="Arial"/>
          <w:sz w:val="22"/>
          <w:szCs w:val="22"/>
          <w:lang w:val="es-CO" w:eastAsia="es-CO"/>
        </w:rPr>
        <w:t xml:space="preserve">El informe de evaluación permanecerá </w:t>
      </w:r>
      <w:r w:rsidRPr="00C04C4B">
        <w:rPr>
          <w:rFonts w:ascii="Garamond" w:eastAsia="Arial" w:hAnsi="Garamond" w:cs="Arial"/>
          <w:sz w:val="22"/>
          <w:szCs w:val="22"/>
          <w:lang w:val="es-ES"/>
        </w:rPr>
        <w:t xml:space="preserve">publicado </w:t>
      </w:r>
      <w:r w:rsidRPr="00C04C4B">
        <w:rPr>
          <w:rFonts w:ascii="Garamond" w:eastAsia="Arial" w:hAnsi="Garamond" w:cs="Arial"/>
          <w:sz w:val="22"/>
          <w:szCs w:val="22"/>
          <w:lang w:val="es-CO" w:eastAsia="es-CO"/>
        </w:rPr>
        <w:t xml:space="preserve">en el </w:t>
      </w:r>
      <w:proofErr w:type="spellStart"/>
      <w:r w:rsidRPr="00C04C4B">
        <w:rPr>
          <w:rFonts w:ascii="Garamond" w:eastAsia="Arial" w:hAnsi="Garamond" w:cs="Arial"/>
          <w:sz w:val="22"/>
          <w:szCs w:val="22"/>
          <w:lang w:val="es-CO" w:eastAsia="es-CO"/>
        </w:rPr>
        <w:t>SECOP</w:t>
      </w:r>
      <w:proofErr w:type="spellEnd"/>
      <w:r w:rsidRPr="00C04C4B">
        <w:rPr>
          <w:rFonts w:ascii="Garamond" w:eastAsia="Arial" w:hAnsi="Garamond" w:cs="Arial"/>
          <w:sz w:val="22"/>
          <w:szCs w:val="22"/>
          <w:lang w:val="es-CO" w:eastAsia="es-CO"/>
        </w:rPr>
        <w:t xml:space="preserve"> y a disposición de los interesados durante los tres (3) días hábiles siguientes a su publicación, término hasta el cual los Proponentes podrán hacer</w:t>
      </w:r>
      <w:r w:rsidRPr="00C04C4B">
        <w:rPr>
          <w:rFonts w:ascii="Garamond" w:eastAsia="Arial" w:hAnsi="Garamond" w:cs="Arial"/>
          <w:sz w:val="22"/>
          <w:szCs w:val="22"/>
          <w:lang w:val="es-ES"/>
        </w:rPr>
        <w:t xml:space="preserve"> las observaciones </w:t>
      </w:r>
      <w:r w:rsidRPr="00C04C4B">
        <w:rPr>
          <w:rFonts w:ascii="Garamond" w:eastAsia="Arial" w:hAnsi="Garamond" w:cs="Arial"/>
          <w:sz w:val="22"/>
          <w:szCs w:val="22"/>
          <w:lang w:val="es-CO" w:eastAsia="es-CO"/>
        </w:rPr>
        <w:t xml:space="preserve">que consideren procedentes y entregar los documentos y la información solicitada por la </w:t>
      </w:r>
      <w:bookmarkStart w:id="133" w:name="_Hlk531611342"/>
      <w:r w:rsidRPr="00C04C4B">
        <w:rPr>
          <w:rFonts w:ascii="Garamond" w:eastAsia="Arial" w:hAnsi="Garamond" w:cs="Arial"/>
          <w:sz w:val="22"/>
          <w:szCs w:val="22"/>
          <w:lang w:val="es-CO" w:eastAsia="es-CO"/>
        </w:rPr>
        <w:t xml:space="preserve">Entidad en las condiciones señaladas en la sección 1.6. del Pliego de Condiciones. </w:t>
      </w:r>
    </w:p>
    <w:bookmarkEnd w:id="133"/>
    <w:p w14:paraId="43560188" w14:textId="77777777" w:rsidR="0069424E" w:rsidRPr="00C04C4B" w:rsidRDefault="0069424E" w:rsidP="0069424E">
      <w:pPr>
        <w:jc w:val="both"/>
        <w:rPr>
          <w:rFonts w:ascii="Garamond" w:eastAsia="Arial" w:hAnsi="Garamond" w:cs="Arial"/>
        </w:rPr>
      </w:pPr>
      <w:r w:rsidRPr="00C04C4B">
        <w:rPr>
          <w:rFonts w:ascii="Garamond" w:eastAsia="Arial" w:hAnsi="Garamond" w:cs="Arial"/>
        </w:rPr>
        <w:t>El informe de evaluación deberá contener como mínimo la evaluación de las ofertas frente a todos los requisitos exigidos en el pliego de condiciones, incluyendo los requisitos habilitantes y los de asignación de puntaje, cuando corresponda</w:t>
      </w:r>
    </w:p>
    <w:p w14:paraId="5585A954" w14:textId="77777777" w:rsidR="0069424E" w:rsidRPr="00C04C4B" w:rsidRDefault="0069424E" w:rsidP="0069424E">
      <w:pPr>
        <w:jc w:val="both"/>
        <w:rPr>
          <w:rFonts w:ascii="Garamond" w:eastAsia="Arial" w:hAnsi="Garamond" w:cs="Arial"/>
        </w:rPr>
      </w:pPr>
    </w:p>
    <w:p w14:paraId="03BDDD14" w14:textId="77777777" w:rsidR="0069424E" w:rsidRPr="00C04C4B" w:rsidRDefault="0069424E" w:rsidP="0069424E">
      <w:pPr>
        <w:pStyle w:val="InviasNormal"/>
        <w:spacing w:before="0" w:after="0"/>
        <w:jc w:val="both"/>
        <w:rPr>
          <w:rFonts w:ascii="Garamond" w:eastAsia="Arial" w:hAnsi="Garamond" w:cs="Arial"/>
          <w:sz w:val="22"/>
          <w:szCs w:val="22"/>
          <w:lang w:val="es-CO" w:eastAsia="es-CO"/>
        </w:rPr>
      </w:pPr>
      <w:r w:rsidRPr="00C04C4B">
        <w:rPr>
          <w:rFonts w:ascii="Garamond" w:eastAsia="Arial" w:hAnsi="Garamond" w:cs="Arial"/>
          <w:sz w:val="22"/>
          <w:szCs w:val="22"/>
          <w:lang w:val="es-CO"/>
        </w:rPr>
        <w:t xml:space="preserve">Con posterioridad al vencimiento del plazo para presentar observaciones y a más tardar el día antes de la adjudicación hasta las 11:59 p.m., de acuerdo con lo señalado en el “Anexo 2 – Cronograma”, la Entidad debe publicar el informe final de evaluación, </w:t>
      </w:r>
      <w:r w:rsidRPr="00C04C4B">
        <w:rPr>
          <w:rFonts w:ascii="Garamond" w:eastAsia="Arial" w:hAnsi="Garamond" w:cs="Arial"/>
          <w:sz w:val="22"/>
          <w:szCs w:val="22"/>
          <w:lang w:val="es-CO" w:eastAsia="es-CO"/>
        </w:rPr>
        <w:t>en caso de que el inicial haya sufrido variaciones.</w:t>
      </w:r>
    </w:p>
    <w:p w14:paraId="25D6E869" w14:textId="77777777" w:rsidR="0069424E" w:rsidRPr="00C04C4B" w:rsidRDefault="0069424E" w:rsidP="0069424E">
      <w:pPr>
        <w:pStyle w:val="InviasNormal"/>
        <w:spacing w:before="0" w:after="0"/>
        <w:jc w:val="both"/>
        <w:rPr>
          <w:rFonts w:ascii="Garamond" w:eastAsia="Arial" w:hAnsi="Garamond" w:cs="Arial"/>
          <w:sz w:val="22"/>
          <w:szCs w:val="22"/>
          <w:lang w:val="es-CO"/>
        </w:rPr>
      </w:pPr>
    </w:p>
    <w:p w14:paraId="409EDB10" w14:textId="77777777" w:rsidR="0069424E" w:rsidRPr="00C04C4B" w:rsidRDefault="0069424E" w:rsidP="00A23238">
      <w:pPr>
        <w:pStyle w:val="Capitulo1"/>
        <w:numPr>
          <w:ilvl w:val="1"/>
          <w:numId w:val="54"/>
        </w:numPr>
        <w:tabs>
          <w:tab w:val="left" w:pos="851"/>
        </w:tabs>
        <w:spacing w:line="240" w:lineRule="auto"/>
        <w:jc w:val="both"/>
        <w:rPr>
          <w:rFonts w:ascii="Garamond" w:eastAsia="Arial" w:hAnsi="Garamond"/>
          <w:color w:val="auto"/>
          <w:sz w:val="22"/>
          <w:szCs w:val="22"/>
        </w:rPr>
      </w:pPr>
      <w:r w:rsidRPr="00C04C4B">
        <w:rPr>
          <w:rFonts w:ascii="Garamond" w:eastAsia="Arial" w:hAnsi="Garamond"/>
          <w:color w:val="auto"/>
          <w:sz w:val="22"/>
          <w:szCs w:val="22"/>
        </w:rPr>
        <w:t xml:space="preserve"> </w:t>
      </w:r>
      <w:bookmarkStart w:id="134" w:name="_Toc108082898"/>
      <w:bookmarkStart w:id="135" w:name="_Toc228209021"/>
      <w:r w:rsidRPr="00C04C4B">
        <w:rPr>
          <w:rFonts w:ascii="Garamond" w:eastAsia="Arial" w:hAnsi="Garamond"/>
          <w:color w:val="auto"/>
          <w:sz w:val="22"/>
          <w:szCs w:val="22"/>
        </w:rPr>
        <w:t>ADJUDICACIÓN</w:t>
      </w:r>
      <w:bookmarkEnd w:id="134"/>
      <w:bookmarkEnd w:id="135"/>
      <w:r w:rsidRPr="00C04C4B">
        <w:rPr>
          <w:rFonts w:ascii="Garamond" w:eastAsia="Arial" w:hAnsi="Garamond"/>
          <w:color w:val="auto"/>
          <w:sz w:val="22"/>
          <w:szCs w:val="22"/>
        </w:rPr>
        <w:t xml:space="preserve"> </w:t>
      </w:r>
      <w:bookmarkStart w:id="136" w:name="_Toc35616233"/>
      <w:bookmarkStart w:id="137" w:name="_Toc35616560"/>
      <w:bookmarkStart w:id="138" w:name="_Toc533083712"/>
      <w:bookmarkStart w:id="139" w:name="_Toc40113335"/>
      <w:bookmarkStart w:id="140" w:name="_Toc35616234"/>
      <w:bookmarkStart w:id="141" w:name="_Hlk516136065"/>
      <w:bookmarkEnd w:id="136"/>
      <w:bookmarkEnd w:id="137"/>
      <w:bookmarkEnd w:id="138"/>
      <w:bookmarkEnd w:id="139"/>
      <w:bookmarkEnd w:id="140"/>
    </w:p>
    <w:p w14:paraId="2946C344" w14:textId="77777777" w:rsidR="0069424E" w:rsidRPr="00C04C4B" w:rsidRDefault="0069424E" w:rsidP="0069424E">
      <w:pPr>
        <w:rPr>
          <w:rFonts w:ascii="Garamond" w:hAnsi="Garamond"/>
          <w:lang w:eastAsia="es-ES"/>
        </w:rPr>
      </w:pPr>
    </w:p>
    <w:p w14:paraId="3BD9120E" w14:textId="27DA0281" w:rsidR="0069424E" w:rsidRPr="00C04C4B" w:rsidRDefault="0069424E" w:rsidP="0069424E">
      <w:pPr>
        <w:pStyle w:val="InviasNormal"/>
        <w:spacing w:before="0" w:after="0"/>
        <w:jc w:val="both"/>
        <w:rPr>
          <w:rFonts w:ascii="Garamond" w:eastAsia="Arial" w:hAnsi="Garamond" w:cs="Arial"/>
          <w:sz w:val="22"/>
          <w:szCs w:val="22"/>
          <w:lang w:val="es-CO"/>
        </w:rPr>
      </w:pPr>
      <w:bookmarkStart w:id="142" w:name="_Hlk520136929"/>
      <w:r w:rsidRPr="00C04C4B">
        <w:rPr>
          <w:rFonts w:ascii="Garamond" w:eastAsia="Arial" w:hAnsi="Garamond" w:cs="Arial"/>
          <w:sz w:val="22"/>
          <w:szCs w:val="22"/>
          <w:lang w:val="es-CO"/>
        </w:rPr>
        <w:t xml:space="preserve">En la fecha establecida en el “Anexo 2 – Cronograma”, la Entidad mediante acto administrativo adjudicará el proceso al Proponente ubicado en el primer lugar en el orden de elegibilidad y cuya oferta económica esté acorde con el presupuesto del Proceso de Contratación. </w:t>
      </w:r>
    </w:p>
    <w:p w14:paraId="119665DA" w14:textId="77777777" w:rsidR="0069424E" w:rsidRPr="00C04C4B" w:rsidRDefault="0069424E" w:rsidP="0069424E">
      <w:pPr>
        <w:pStyle w:val="InviasNormal"/>
        <w:spacing w:before="0" w:after="0"/>
        <w:jc w:val="both"/>
        <w:rPr>
          <w:rFonts w:ascii="Garamond" w:eastAsia="Arial" w:hAnsi="Garamond" w:cs="Arial"/>
          <w:sz w:val="22"/>
          <w:szCs w:val="22"/>
          <w:lang w:val="es-CO"/>
        </w:rPr>
      </w:pPr>
      <w:r w:rsidRPr="00C04C4B">
        <w:rPr>
          <w:rFonts w:ascii="Garamond" w:eastAsia="Arial" w:hAnsi="Garamond" w:cs="Arial"/>
          <w:sz w:val="22"/>
          <w:szCs w:val="22"/>
          <w:lang w:val="es-CO"/>
        </w:rPr>
        <w:t>Establecido el orden de elegibilidad, la Entidad, por medio de acto administrativo motivado, adjudicará el proceso al Proponente ubicado en el primer lugar del orden de elegibilidad y cuya oferta económica esté acorde con el Presupuesto Oficial del Proceso de Contratación.</w:t>
      </w:r>
    </w:p>
    <w:p w14:paraId="51CE099A" w14:textId="77777777" w:rsidR="0069424E" w:rsidRPr="00C04C4B" w:rsidRDefault="0069424E" w:rsidP="0069424E">
      <w:pPr>
        <w:pStyle w:val="InviasNormal"/>
        <w:spacing w:before="0" w:after="0"/>
        <w:jc w:val="both"/>
        <w:rPr>
          <w:rFonts w:ascii="Garamond" w:eastAsia="Arial" w:hAnsi="Garamond" w:cs="Arial"/>
          <w:sz w:val="22"/>
          <w:szCs w:val="22"/>
          <w:lang w:val="es-CO"/>
        </w:rPr>
      </w:pPr>
    </w:p>
    <w:p w14:paraId="685335A1" w14:textId="77777777" w:rsidR="0069424E" w:rsidRPr="00C04C4B" w:rsidRDefault="0069424E" w:rsidP="00A23238">
      <w:pPr>
        <w:pStyle w:val="Capitulo1"/>
        <w:numPr>
          <w:ilvl w:val="1"/>
          <w:numId w:val="54"/>
        </w:numPr>
        <w:tabs>
          <w:tab w:val="left" w:pos="851"/>
        </w:tabs>
        <w:spacing w:line="240" w:lineRule="auto"/>
        <w:jc w:val="both"/>
        <w:rPr>
          <w:rFonts w:ascii="Garamond" w:eastAsia="Arial" w:hAnsi="Garamond"/>
          <w:color w:val="auto"/>
          <w:sz w:val="22"/>
          <w:szCs w:val="22"/>
        </w:rPr>
      </w:pPr>
      <w:bookmarkStart w:id="143" w:name="_Toc35616235"/>
      <w:bookmarkStart w:id="144" w:name="_Toc35616562"/>
      <w:bookmarkStart w:id="145" w:name="_Toc35616236"/>
      <w:bookmarkStart w:id="146" w:name="_Toc35616563"/>
      <w:bookmarkStart w:id="147" w:name="_Toc35616237"/>
      <w:bookmarkStart w:id="148" w:name="_Toc35616564"/>
      <w:bookmarkStart w:id="149" w:name="_Toc35616238"/>
      <w:bookmarkStart w:id="150" w:name="_Toc35616565"/>
      <w:bookmarkStart w:id="151" w:name="_Toc35616239"/>
      <w:bookmarkStart w:id="152" w:name="_Toc35616566"/>
      <w:bookmarkStart w:id="153" w:name="_Toc35616240"/>
      <w:bookmarkStart w:id="154" w:name="_Toc35616567"/>
      <w:bookmarkStart w:id="155" w:name="_Toc424219468"/>
      <w:bookmarkStart w:id="156" w:name="_Toc504124511"/>
      <w:bookmarkStart w:id="157" w:name="_Toc508648263"/>
      <w:bookmarkStart w:id="158" w:name="_Toc508984047"/>
      <w:bookmarkStart w:id="159" w:name="_Toc509843878"/>
      <w:bookmarkStart w:id="160" w:name="_Toc511924786"/>
      <w:bookmarkStart w:id="161" w:name="_Toc520226875"/>
      <w:bookmarkStart w:id="162" w:name="_Toc520297845"/>
      <w:bookmarkStart w:id="163" w:name="_Toc520317110"/>
      <w:bookmarkStart w:id="164" w:name="_Toc533083713"/>
      <w:bookmarkStart w:id="165" w:name="_Toc35616241"/>
      <w:bookmarkStart w:id="166" w:name="_Toc40113336"/>
      <w:bookmarkStart w:id="167" w:name="_Toc108082899"/>
      <w:bookmarkStart w:id="168" w:name="_Toc228209022"/>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C04C4B">
        <w:rPr>
          <w:rFonts w:ascii="Garamond" w:eastAsia="Arial" w:hAnsi="Garamond"/>
          <w:color w:val="auto"/>
          <w:sz w:val="22"/>
          <w:szCs w:val="22"/>
        </w:rPr>
        <w:t>PROPUESTAS PARCIALES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639640C5" w14:textId="7D1BA01A" w:rsidR="0069424E" w:rsidRPr="00C04C4B" w:rsidRDefault="0069424E" w:rsidP="0069424E">
      <w:pPr>
        <w:pStyle w:val="InviasNormal"/>
        <w:jc w:val="both"/>
        <w:rPr>
          <w:rFonts w:ascii="Garamond" w:hAnsi="Garamond"/>
          <w:sz w:val="22"/>
          <w:szCs w:val="22"/>
          <w:lang w:val="es-CO"/>
        </w:rPr>
      </w:pPr>
      <w:r w:rsidRPr="00C04C4B">
        <w:rPr>
          <w:rFonts w:ascii="Garamond" w:eastAsia="Arial" w:hAnsi="Garamond" w:cs="Arial"/>
          <w:sz w:val="22"/>
          <w:szCs w:val="22"/>
          <w:lang w:val="es-CO"/>
        </w:rPr>
        <w:t xml:space="preserve">No se admitirán las propuestas parciales, esto es, las presentadas para una parte del objeto o del alcance del contrato, a menos que se establezca esta posibilidad en el Pliego de Condiciones. </w:t>
      </w:r>
      <w:r w:rsidRPr="00C04C4B">
        <w:rPr>
          <w:rFonts w:ascii="Garamond" w:eastAsia="Arial" w:hAnsi="Garamond" w:cs="Arial"/>
          <w:sz w:val="22"/>
          <w:szCs w:val="22"/>
          <w:u w:val="single"/>
          <w:lang w:val="es-CO"/>
        </w:rPr>
        <w:t>De igual forma se debe tener en cuenta la definición establecida en el Anexo 3 – Glosario sobre este tema.</w:t>
      </w:r>
    </w:p>
    <w:p w14:paraId="626FC277" w14:textId="74843B80" w:rsidR="0069424E" w:rsidRPr="00C04C4B" w:rsidRDefault="0069424E">
      <w:pPr>
        <w:jc w:val="both"/>
        <w:rPr>
          <w:rFonts w:ascii="Garamond" w:eastAsia="Garamond" w:hAnsi="Garamond" w:cs="Garamond"/>
        </w:rPr>
      </w:pPr>
    </w:p>
    <w:p w14:paraId="0FEB8966" w14:textId="5A02D71C" w:rsidR="0069424E" w:rsidRPr="00C04C4B" w:rsidRDefault="0069424E">
      <w:pPr>
        <w:jc w:val="both"/>
        <w:rPr>
          <w:rFonts w:ascii="Garamond" w:eastAsia="Garamond" w:hAnsi="Garamond" w:cs="Garamond"/>
        </w:rPr>
      </w:pPr>
    </w:p>
    <w:p w14:paraId="3A032AD5" w14:textId="268F092B" w:rsidR="0069424E" w:rsidRPr="00C04C4B" w:rsidRDefault="0069424E">
      <w:pPr>
        <w:jc w:val="both"/>
        <w:rPr>
          <w:rFonts w:ascii="Garamond" w:eastAsia="Garamond" w:hAnsi="Garamond" w:cs="Garamond"/>
        </w:rPr>
      </w:pPr>
    </w:p>
    <w:p w14:paraId="585F7DA7" w14:textId="626450FF" w:rsidR="0069424E" w:rsidRPr="00C04C4B" w:rsidRDefault="0069424E">
      <w:pPr>
        <w:jc w:val="both"/>
        <w:rPr>
          <w:rFonts w:ascii="Garamond" w:eastAsia="Garamond" w:hAnsi="Garamond" w:cs="Garamond"/>
        </w:rPr>
      </w:pPr>
    </w:p>
    <w:p w14:paraId="3D8444F7" w14:textId="16569B03" w:rsidR="0069424E" w:rsidRPr="00C04C4B" w:rsidRDefault="0069424E">
      <w:pPr>
        <w:jc w:val="both"/>
        <w:rPr>
          <w:rFonts w:ascii="Garamond" w:eastAsia="Garamond" w:hAnsi="Garamond" w:cs="Garamond"/>
        </w:rPr>
      </w:pPr>
    </w:p>
    <w:p w14:paraId="13858F6B" w14:textId="05DBC0BC" w:rsidR="0069424E" w:rsidRPr="00C04C4B" w:rsidRDefault="0069424E">
      <w:pPr>
        <w:jc w:val="both"/>
        <w:rPr>
          <w:rFonts w:ascii="Garamond" w:eastAsia="Garamond" w:hAnsi="Garamond" w:cs="Garamond"/>
        </w:rPr>
      </w:pPr>
    </w:p>
    <w:p w14:paraId="5A7D9D00" w14:textId="6155956E" w:rsidR="0069424E" w:rsidRPr="00C04C4B" w:rsidRDefault="00C04C4B">
      <w:pPr>
        <w:jc w:val="both"/>
        <w:rPr>
          <w:rFonts w:ascii="Garamond" w:eastAsia="Garamond" w:hAnsi="Garamond" w:cs="Garamond"/>
          <w:b/>
          <w:bCs/>
        </w:rPr>
      </w:pPr>
      <w:r w:rsidRPr="00C04C4B">
        <w:rPr>
          <w:rFonts w:ascii="Garamond" w:eastAsia="Garamond" w:hAnsi="Garamond" w:cs="Garamond"/>
          <w:b/>
          <w:bCs/>
        </w:rPr>
        <w:lastRenderedPageBreak/>
        <w:t>REQUISITOS HABILITANTES Y SU VERIFICACIÓN</w:t>
      </w:r>
    </w:p>
    <w:p w14:paraId="3CD188D3" w14:textId="4D7AE390" w:rsidR="00C04C4B" w:rsidRPr="00C04C4B" w:rsidRDefault="00C04C4B">
      <w:pPr>
        <w:jc w:val="both"/>
        <w:rPr>
          <w:rFonts w:ascii="Garamond" w:eastAsia="Garamond" w:hAnsi="Garamond" w:cs="Garamond"/>
        </w:rPr>
      </w:pPr>
    </w:p>
    <w:p w14:paraId="6731289D" w14:textId="5D30CB38" w:rsidR="00C04C4B" w:rsidRPr="00C04C4B" w:rsidRDefault="00C04C4B" w:rsidP="00C04C4B">
      <w:pPr>
        <w:jc w:val="both"/>
        <w:rPr>
          <w:rFonts w:ascii="Garamond" w:eastAsia="Garamond" w:hAnsi="Garamond" w:cs="Garamond"/>
        </w:rPr>
      </w:pPr>
      <w:r w:rsidRPr="00C04C4B">
        <w:rPr>
          <w:rFonts w:ascii="Garamond" w:eastAsia="Garamond" w:hAnsi="Garamond" w:cs="Garamond"/>
        </w:rPr>
        <w:t xml:space="preserve">La Entidad verificará los requisitos habilitantes dentro del término señalado en el Cronograma del Pliego de Condiciones, de acuerdo con los soportes documentales que acompañan la propuesta presentada. </w:t>
      </w:r>
    </w:p>
    <w:p w14:paraId="33F1037A" w14:textId="77777777" w:rsidR="00C04C4B" w:rsidRPr="00C04C4B" w:rsidRDefault="00C04C4B" w:rsidP="00C04C4B">
      <w:pPr>
        <w:jc w:val="both"/>
        <w:rPr>
          <w:rFonts w:ascii="Garamond" w:eastAsia="Garamond" w:hAnsi="Garamond" w:cs="Garamond"/>
        </w:rPr>
      </w:pPr>
    </w:p>
    <w:p w14:paraId="63EFEA12" w14:textId="401F3AE2" w:rsidR="00C04C4B" w:rsidRPr="00C04C4B" w:rsidRDefault="00C04C4B" w:rsidP="00C04C4B">
      <w:pPr>
        <w:jc w:val="both"/>
        <w:rPr>
          <w:rFonts w:ascii="Garamond" w:eastAsia="Garamond" w:hAnsi="Garamond" w:cs="Garamond"/>
        </w:rPr>
      </w:pPr>
      <w:r w:rsidRPr="00C04C4B">
        <w:rPr>
          <w:rFonts w:ascii="Garamond" w:eastAsia="Garamond" w:hAnsi="Garamond" w:cs="Garamond"/>
        </w:rPr>
        <w:t xml:space="preserve">Los requisitos habilitantes serán objeto de verificación. Por lo tanto, si la propuesta cumple con todos los aspectos se evaluarán como “cumple”. En caso contrario se evaluará como “no cumple”. </w:t>
      </w:r>
    </w:p>
    <w:p w14:paraId="0922C898" w14:textId="77777777" w:rsidR="00C04C4B" w:rsidRPr="00C04C4B" w:rsidRDefault="00C04C4B" w:rsidP="00C04C4B">
      <w:pPr>
        <w:jc w:val="both"/>
        <w:rPr>
          <w:rFonts w:ascii="Garamond" w:eastAsia="Garamond" w:hAnsi="Garamond" w:cs="Garamond"/>
        </w:rPr>
      </w:pPr>
    </w:p>
    <w:p w14:paraId="05F3A8FB" w14:textId="1676368E" w:rsidR="00C04C4B" w:rsidRPr="00C04C4B" w:rsidRDefault="00C04C4B" w:rsidP="00C04C4B">
      <w:pPr>
        <w:jc w:val="both"/>
        <w:rPr>
          <w:rFonts w:ascii="Garamond" w:eastAsia="Garamond" w:hAnsi="Garamond" w:cs="Garamond"/>
        </w:rPr>
      </w:pPr>
      <w:r w:rsidRPr="00C04C4B">
        <w:rPr>
          <w:rFonts w:ascii="Garamond" w:eastAsia="Garamond" w:hAnsi="Garamond" w:cs="Garamond"/>
        </w:rPr>
        <w:t>De conformidad con la normativa aplicable, la Entidad realizará la verificación de requisitos habilitantes de los Proponentes (personas naturales o jurídicas nacionales o extranjeras domiciliadas o con Sucursal en Colombia, Proponentes Plurales) con base en la información contenida en el Registro Único de Proponentes (</w:t>
      </w:r>
      <w:proofErr w:type="spellStart"/>
      <w:r w:rsidRPr="00C04C4B">
        <w:rPr>
          <w:rFonts w:ascii="Garamond" w:eastAsia="Garamond" w:hAnsi="Garamond" w:cs="Garamond"/>
        </w:rPr>
        <w:t>RUP</w:t>
      </w:r>
      <w:proofErr w:type="spellEnd"/>
      <w:r w:rsidRPr="00C04C4B">
        <w:rPr>
          <w:rFonts w:ascii="Garamond" w:eastAsia="Garamond" w:hAnsi="Garamond" w:cs="Garamond"/>
        </w:rPr>
        <w:t xml:space="preserve">) y los documentos señalados en los Documentos Tipo. </w:t>
      </w:r>
    </w:p>
    <w:p w14:paraId="50179610" w14:textId="77777777" w:rsidR="00C04C4B" w:rsidRPr="00C04C4B" w:rsidRDefault="00C04C4B" w:rsidP="00C04C4B">
      <w:pPr>
        <w:jc w:val="both"/>
        <w:rPr>
          <w:rFonts w:ascii="Garamond" w:eastAsia="Garamond" w:hAnsi="Garamond" w:cs="Garamond"/>
        </w:rPr>
      </w:pPr>
    </w:p>
    <w:p w14:paraId="7E78EE24" w14:textId="6FA662FF" w:rsidR="00C04C4B" w:rsidRPr="00C04C4B" w:rsidRDefault="00C04C4B" w:rsidP="00C04C4B">
      <w:pPr>
        <w:jc w:val="both"/>
        <w:rPr>
          <w:rFonts w:ascii="Garamond" w:eastAsia="Garamond" w:hAnsi="Garamond" w:cs="Garamond"/>
        </w:rPr>
      </w:pPr>
      <w:r w:rsidRPr="00C04C4B">
        <w:rPr>
          <w:rFonts w:ascii="Garamond" w:eastAsia="Garamond" w:hAnsi="Garamond" w:cs="Garamond"/>
        </w:rPr>
        <w:t>La Entidad no podrá exigir requisitos habilitantes diferentes a los señalados en los Documentos Tipo.</w:t>
      </w:r>
    </w:p>
    <w:p w14:paraId="5008E686" w14:textId="00808571" w:rsidR="00C04C4B" w:rsidRPr="00C04C4B" w:rsidRDefault="00C04C4B">
      <w:pPr>
        <w:jc w:val="both"/>
        <w:rPr>
          <w:rFonts w:ascii="Garamond" w:eastAsia="Garamond" w:hAnsi="Garamond" w:cs="Garamond"/>
        </w:rPr>
      </w:pPr>
    </w:p>
    <w:p w14:paraId="5A444B43" w14:textId="12531981" w:rsidR="00C04C4B" w:rsidRPr="00C04C4B" w:rsidRDefault="00C04C4B" w:rsidP="00A23238">
      <w:pPr>
        <w:pStyle w:val="Capitulo1"/>
        <w:numPr>
          <w:ilvl w:val="1"/>
          <w:numId w:val="54"/>
        </w:numPr>
        <w:tabs>
          <w:tab w:val="left" w:pos="851"/>
        </w:tabs>
        <w:spacing w:line="240" w:lineRule="auto"/>
        <w:jc w:val="both"/>
        <w:rPr>
          <w:rFonts w:ascii="Garamond" w:eastAsia="Arial" w:hAnsi="Garamond"/>
          <w:color w:val="auto"/>
          <w:sz w:val="22"/>
          <w:szCs w:val="22"/>
        </w:rPr>
      </w:pPr>
      <w:bookmarkStart w:id="169" w:name="_Toc35616245"/>
      <w:bookmarkStart w:id="170" w:name="_Toc40113340"/>
      <w:bookmarkStart w:id="171" w:name="_Toc108082903"/>
      <w:bookmarkStart w:id="172" w:name="_Toc215132431"/>
      <w:r w:rsidRPr="00C04C4B">
        <w:rPr>
          <w:rFonts w:ascii="Garamond" w:eastAsia="Arial" w:hAnsi="Garamond"/>
          <w:color w:val="auto"/>
          <w:sz w:val="22"/>
          <w:szCs w:val="22"/>
        </w:rPr>
        <w:t>GENERALIDADES</w:t>
      </w:r>
      <w:bookmarkEnd w:id="169"/>
      <w:bookmarkEnd w:id="170"/>
      <w:bookmarkEnd w:id="171"/>
      <w:bookmarkEnd w:id="172"/>
    </w:p>
    <w:p w14:paraId="09082EF2" w14:textId="77777777" w:rsidR="00C04C4B" w:rsidRPr="00C04C4B" w:rsidRDefault="00C04C4B" w:rsidP="00A23238">
      <w:pPr>
        <w:pStyle w:val="InviasNormal"/>
        <w:numPr>
          <w:ilvl w:val="0"/>
          <w:numId w:val="29"/>
        </w:numPr>
        <w:autoSpaceDE w:val="0"/>
        <w:autoSpaceDN w:val="0"/>
        <w:jc w:val="both"/>
        <w:rPr>
          <w:rFonts w:ascii="Garamond" w:eastAsia="Arial" w:hAnsi="Garamond" w:cs="Arial"/>
          <w:sz w:val="22"/>
          <w:szCs w:val="22"/>
          <w:lang w:val="es-CO"/>
        </w:rPr>
      </w:pPr>
      <w:r w:rsidRPr="00C04C4B">
        <w:rPr>
          <w:rFonts w:ascii="Garamond" w:eastAsia="Arial" w:hAnsi="Garamond" w:cs="Arial"/>
          <w:sz w:val="22"/>
          <w:szCs w:val="22"/>
          <w:lang w:val="es-CO"/>
        </w:rPr>
        <w:t>Únicamente se consideran habilitados aquellos Proponentes que cumplan todos los requisitos habilitantes según lo señalado en el Pliego de Condiciones.</w:t>
      </w:r>
    </w:p>
    <w:p w14:paraId="19FDB915" w14:textId="77777777" w:rsidR="00C04C4B" w:rsidRPr="00C04C4B" w:rsidRDefault="00C04C4B" w:rsidP="00A23238">
      <w:pPr>
        <w:pStyle w:val="InviasNormal"/>
        <w:numPr>
          <w:ilvl w:val="0"/>
          <w:numId w:val="29"/>
        </w:numPr>
        <w:autoSpaceDE w:val="0"/>
        <w:autoSpaceDN w:val="0"/>
        <w:jc w:val="both"/>
        <w:rPr>
          <w:rFonts w:ascii="Garamond" w:eastAsia="Arial" w:hAnsi="Garamond" w:cs="Arial"/>
          <w:sz w:val="22"/>
          <w:szCs w:val="22"/>
          <w:lang w:val="es-CO"/>
        </w:rPr>
      </w:pPr>
      <w:r w:rsidRPr="00C04C4B">
        <w:rPr>
          <w:rFonts w:ascii="Garamond" w:eastAsia="Arial" w:hAnsi="Garamond" w:cs="Arial"/>
          <w:sz w:val="22"/>
          <w:szCs w:val="22"/>
          <w:lang w:val="es-CO"/>
        </w:rPr>
        <w:t>En el caso de Proponentes Plurales, los requisitos habilitantes serán acreditados por cada uno de los integrantes de la figura asociativa, salvo que se dé a entender algo distinto y, en todo caso se realizara de acuerdo con las reglas del Pliego de Condiciones.</w:t>
      </w:r>
    </w:p>
    <w:p w14:paraId="35B212D3" w14:textId="77777777" w:rsidR="00C04C4B" w:rsidRPr="00C04C4B" w:rsidRDefault="00C04C4B" w:rsidP="00A23238">
      <w:pPr>
        <w:pStyle w:val="InviasNormal"/>
        <w:numPr>
          <w:ilvl w:val="0"/>
          <w:numId w:val="29"/>
        </w:numPr>
        <w:autoSpaceDE w:val="0"/>
        <w:autoSpaceDN w:val="0"/>
        <w:jc w:val="both"/>
        <w:rPr>
          <w:rFonts w:ascii="Garamond" w:eastAsia="Arial" w:hAnsi="Garamond" w:cs="Arial"/>
          <w:sz w:val="22"/>
          <w:szCs w:val="22"/>
          <w:lang w:val="es-CO"/>
        </w:rPr>
      </w:pPr>
      <w:r w:rsidRPr="00C04C4B">
        <w:rPr>
          <w:rFonts w:ascii="Garamond" w:eastAsia="Arial" w:hAnsi="Garamond" w:cs="Arial"/>
          <w:sz w:val="22"/>
          <w:szCs w:val="22"/>
          <w:lang w:val="es-CO"/>
        </w:rPr>
        <w:t xml:space="preserve">Todos los Proponentes deben diligenciar el “Formato 3 - Experiencia” y los Proponentes extranjeros sin domicilio o sin Sucursal en Colombia deben diligenciar adicionalmente el “Formato 4 – Capacidad Financiera y organizacional para extranjeros y adjuntar los soportes que ahí se definen. </w:t>
      </w:r>
    </w:p>
    <w:p w14:paraId="0B890B56" w14:textId="77777777" w:rsidR="00C04C4B" w:rsidRPr="00C04C4B" w:rsidRDefault="00C04C4B" w:rsidP="00A23238">
      <w:pPr>
        <w:pStyle w:val="InviasNormal"/>
        <w:numPr>
          <w:ilvl w:val="0"/>
          <w:numId w:val="29"/>
        </w:numPr>
        <w:autoSpaceDE w:val="0"/>
        <w:autoSpaceDN w:val="0"/>
        <w:jc w:val="both"/>
        <w:rPr>
          <w:rFonts w:ascii="Garamond" w:eastAsiaTheme="minorEastAsia" w:hAnsi="Garamond" w:cs="Arial"/>
          <w:sz w:val="22"/>
          <w:szCs w:val="22"/>
          <w:lang w:val="es-CO"/>
        </w:rPr>
      </w:pPr>
      <w:r w:rsidRPr="00C04C4B">
        <w:rPr>
          <w:rFonts w:ascii="Garamond" w:eastAsia="Arial" w:hAnsi="Garamond" w:cs="Arial"/>
          <w:sz w:val="22"/>
          <w:szCs w:val="22"/>
          <w:lang w:val="es-CO"/>
        </w:rPr>
        <w:t>Los Proponentes obligados a estar inscritos en el Registro Único de Proponentes (</w:t>
      </w:r>
      <w:proofErr w:type="spellStart"/>
      <w:r w:rsidRPr="00C04C4B">
        <w:rPr>
          <w:rFonts w:ascii="Garamond" w:eastAsia="Arial" w:hAnsi="Garamond" w:cs="Arial"/>
          <w:sz w:val="22"/>
          <w:szCs w:val="22"/>
          <w:lang w:val="es-CO"/>
        </w:rPr>
        <w:t>RUP</w:t>
      </w:r>
      <w:proofErr w:type="spellEnd"/>
      <w:r w:rsidRPr="00C04C4B">
        <w:rPr>
          <w:rFonts w:ascii="Garamond" w:eastAsia="Arial" w:hAnsi="Garamond" w:cs="Arial"/>
          <w:sz w:val="22"/>
          <w:szCs w:val="22"/>
          <w:lang w:val="es-CO"/>
        </w:rPr>
        <w:t>), deben aportar certificado con f</w:t>
      </w:r>
      <w:r w:rsidRPr="00C04C4B">
        <w:rPr>
          <w:rFonts w:ascii="Garamond" w:eastAsia="Arial" w:hAnsi="Garamond" w:cs="Arial"/>
          <w:sz w:val="22"/>
          <w:szCs w:val="22"/>
        </w:rPr>
        <w:t xml:space="preserve">echa de expedición no mayor a treinta (30) días calendario anteriores a la fecha de cierre del </w:t>
      </w:r>
      <w:r w:rsidRPr="00C04C4B">
        <w:rPr>
          <w:rFonts w:ascii="Garamond" w:eastAsia="Arial" w:hAnsi="Garamond" w:cs="Arial"/>
          <w:sz w:val="22"/>
          <w:szCs w:val="22"/>
          <w:lang w:val="es-CO"/>
        </w:rPr>
        <w:t>P</w:t>
      </w:r>
      <w:proofErr w:type="spellStart"/>
      <w:r w:rsidRPr="00C04C4B">
        <w:rPr>
          <w:rFonts w:ascii="Garamond" w:eastAsia="Arial" w:hAnsi="Garamond" w:cs="Arial"/>
          <w:sz w:val="22"/>
          <w:szCs w:val="22"/>
        </w:rPr>
        <w:t>roceso</w:t>
      </w:r>
      <w:proofErr w:type="spellEnd"/>
      <w:r w:rsidRPr="00C04C4B">
        <w:rPr>
          <w:rFonts w:ascii="Garamond" w:eastAsia="Arial" w:hAnsi="Garamond" w:cs="Arial"/>
          <w:sz w:val="22"/>
          <w:szCs w:val="22"/>
        </w:rPr>
        <w:t xml:space="preserve"> de </w:t>
      </w:r>
      <w:r w:rsidRPr="00C04C4B">
        <w:rPr>
          <w:rFonts w:ascii="Garamond" w:eastAsia="Arial" w:hAnsi="Garamond" w:cs="Arial"/>
          <w:sz w:val="22"/>
          <w:szCs w:val="22"/>
          <w:lang w:val="es-CO"/>
        </w:rPr>
        <w:t>C</w:t>
      </w:r>
      <w:proofErr w:type="spellStart"/>
      <w:r w:rsidRPr="00C04C4B">
        <w:rPr>
          <w:rFonts w:ascii="Garamond" w:eastAsia="Arial" w:hAnsi="Garamond" w:cs="Arial"/>
          <w:sz w:val="22"/>
          <w:szCs w:val="22"/>
        </w:rPr>
        <w:t>ontratación</w:t>
      </w:r>
      <w:proofErr w:type="spellEnd"/>
      <w:r w:rsidRPr="00C04C4B">
        <w:rPr>
          <w:rFonts w:ascii="Garamond" w:eastAsia="Arial" w:hAnsi="Garamond" w:cs="Arial"/>
          <w:sz w:val="22"/>
          <w:szCs w:val="22"/>
        </w:rPr>
        <w:t xml:space="preserve">. En caso de modificarse la fecha de cierre del </w:t>
      </w:r>
      <w:r w:rsidRPr="00C04C4B">
        <w:rPr>
          <w:rFonts w:ascii="Garamond" w:eastAsia="Arial" w:hAnsi="Garamond" w:cs="Arial"/>
          <w:sz w:val="22"/>
          <w:szCs w:val="22"/>
          <w:lang w:val="es-CO"/>
        </w:rPr>
        <w:t>P</w:t>
      </w:r>
      <w:proofErr w:type="spellStart"/>
      <w:r w:rsidRPr="00C04C4B">
        <w:rPr>
          <w:rFonts w:ascii="Garamond" w:eastAsia="Arial" w:hAnsi="Garamond" w:cs="Arial"/>
          <w:sz w:val="22"/>
          <w:szCs w:val="22"/>
        </w:rPr>
        <w:t>roceso</w:t>
      </w:r>
      <w:proofErr w:type="spellEnd"/>
      <w:r w:rsidRPr="00C04C4B">
        <w:rPr>
          <w:rFonts w:ascii="Garamond" w:eastAsia="Arial" w:hAnsi="Garamond" w:cs="Arial"/>
          <w:sz w:val="22"/>
          <w:szCs w:val="22"/>
        </w:rPr>
        <w:t xml:space="preserve"> de Contratación, se tendrá como referencia para establecer el plazo de vigencia del certificado la fecha originalmente </w:t>
      </w:r>
      <w:r w:rsidRPr="00C04C4B">
        <w:rPr>
          <w:rFonts w:ascii="Garamond" w:eastAsia="Arial" w:hAnsi="Garamond" w:cs="Arial"/>
          <w:sz w:val="22"/>
          <w:szCs w:val="22"/>
          <w:lang w:val="es-ES"/>
        </w:rPr>
        <w:t xml:space="preserve">establecida </w:t>
      </w:r>
      <w:r w:rsidRPr="00C04C4B">
        <w:rPr>
          <w:rFonts w:ascii="Garamond" w:eastAsia="Arial" w:hAnsi="Garamond" w:cs="Arial"/>
          <w:sz w:val="22"/>
          <w:szCs w:val="22"/>
        </w:rPr>
        <w:t xml:space="preserve"> en el </w:t>
      </w:r>
      <w:r w:rsidRPr="00C04C4B">
        <w:rPr>
          <w:rFonts w:ascii="Garamond" w:eastAsia="Arial" w:hAnsi="Garamond" w:cs="Arial"/>
          <w:sz w:val="22"/>
          <w:szCs w:val="22"/>
          <w:lang w:val="es-CO"/>
        </w:rPr>
        <w:t>P</w:t>
      </w:r>
      <w:r w:rsidRPr="00C04C4B">
        <w:rPr>
          <w:rFonts w:ascii="Garamond" w:eastAsia="Arial" w:hAnsi="Garamond" w:cs="Arial"/>
          <w:sz w:val="22"/>
          <w:szCs w:val="22"/>
        </w:rPr>
        <w:t xml:space="preserve">liego de </w:t>
      </w:r>
      <w:r w:rsidRPr="00C04C4B">
        <w:rPr>
          <w:rFonts w:ascii="Garamond" w:eastAsia="Arial" w:hAnsi="Garamond" w:cs="Arial"/>
          <w:sz w:val="22"/>
          <w:szCs w:val="22"/>
          <w:lang w:val="es-CO"/>
        </w:rPr>
        <w:t>C</w:t>
      </w:r>
      <w:proofErr w:type="spellStart"/>
      <w:r w:rsidRPr="00C04C4B">
        <w:rPr>
          <w:rFonts w:ascii="Garamond" w:eastAsia="Arial" w:hAnsi="Garamond" w:cs="Arial"/>
          <w:sz w:val="22"/>
          <w:szCs w:val="22"/>
        </w:rPr>
        <w:t>ondiciones</w:t>
      </w:r>
      <w:proofErr w:type="spellEnd"/>
      <w:r w:rsidRPr="00C04C4B">
        <w:rPr>
          <w:rFonts w:ascii="Garamond" w:eastAsia="Arial" w:hAnsi="Garamond" w:cs="Arial"/>
          <w:sz w:val="22"/>
          <w:szCs w:val="22"/>
          <w:lang w:val="es-CO"/>
        </w:rPr>
        <w:t>.</w:t>
      </w:r>
    </w:p>
    <w:p w14:paraId="23849E30" w14:textId="17B09727" w:rsidR="00C04C4B" w:rsidRPr="00C04C4B" w:rsidRDefault="00C04C4B" w:rsidP="00A23238">
      <w:pPr>
        <w:pStyle w:val="Capitulo1"/>
        <w:numPr>
          <w:ilvl w:val="1"/>
          <w:numId w:val="54"/>
        </w:numPr>
        <w:tabs>
          <w:tab w:val="left" w:pos="851"/>
        </w:tabs>
        <w:spacing w:line="240" w:lineRule="auto"/>
        <w:jc w:val="both"/>
        <w:rPr>
          <w:rFonts w:ascii="Garamond" w:eastAsia="Arial" w:hAnsi="Garamond"/>
          <w:color w:val="auto"/>
          <w:sz w:val="22"/>
          <w:szCs w:val="22"/>
        </w:rPr>
      </w:pPr>
      <w:bookmarkStart w:id="173" w:name="_Toc508648267"/>
      <w:bookmarkStart w:id="174" w:name="_Toc508984051"/>
      <w:bookmarkStart w:id="175" w:name="_Toc509843882"/>
      <w:bookmarkStart w:id="176" w:name="_Toc511924790"/>
      <w:bookmarkStart w:id="177" w:name="_Toc520226879"/>
      <w:bookmarkStart w:id="178" w:name="_Toc520297849"/>
      <w:bookmarkStart w:id="179" w:name="_Toc520317114"/>
      <w:bookmarkStart w:id="180" w:name="_Toc533083717"/>
      <w:bookmarkStart w:id="181" w:name="_Toc35616246"/>
      <w:bookmarkStart w:id="182" w:name="_Toc40113341"/>
      <w:bookmarkStart w:id="183" w:name="_Toc108082904"/>
      <w:bookmarkStart w:id="184" w:name="_Toc215132432"/>
      <w:r w:rsidRPr="00C04C4B">
        <w:rPr>
          <w:rFonts w:ascii="Garamond" w:eastAsia="Arial" w:hAnsi="Garamond"/>
          <w:color w:val="auto"/>
          <w:sz w:val="22"/>
          <w:szCs w:val="22"/>
        </w:rPr>
        <w:t>CAPACIDAD JURÍDICA</w:t>
      </w:r>
      <w:bookmarkEnd w:id="173"/>
      <w:bookmarkEnd w:id="174"/>
      <w:bookmarkEnd w:id="175"/>
      <w:bookmarkEnd w:id="176"/>
      <w:bookmarkEnd w:id="177"/>
      <w:bookmarkEnd w:id="178"/>
      <w:bookmarkEnd w:id="179"/>
      <w:bookmarkEnd w:id="180"/>
      <w:bookmarkEnd w:id="181"/>
      <w:bookmarkEnd w:id="182"/>
      <w:bookmarkEnd w:id="183"/>
      <w:bookmarkEnd w:id="184"/>
      <w:r w:rsidRPr="00C04C4B">
        <w:rPr>
          <w:rFonts w:ascii="Garamond" w:eastAsia="Arial" w:hAnsi="Garamond"/>
          <w:color w:val="auto"/>
          <w:sz w:val="22"/>
          <w:szCs w:val="22"/>
        </w:rPr>
        <w:t xml:space="preserve"> </w:t>
      </w:r>
    </w:p>
    <w:p w14:paraId="31B556E7" w14:textId="77777777" w:rsidR="00C04C4B" w:rsidRPr="00C04C4B" w:rsidRDefault="00C04C4B" w:rsidP="00C04C4B">
      <w:pPr>
        <w:autoSpaceDE w:val="0"/>
        <w:autoSpaceDN w:val="0"/>
        <w:adjustRightInd w:val="0"/>
        <w:spacing w:before="120" w:after="240"/>
        <w:jc w:val="both"/>
        <w:rPr>
          <w:rFonts w:ascii="Garamond" w:hAnsi="Garamond" w:cs="Arial"/>
        </w:rPr>
      </w:pPr>
      <w:r w:rsidRPr="00C04C4B">
        <w:rPr>
          <w:rFonts w:ascii="Garamond" w:hAnsi="Garamond" w:cs="Arial"/>
        </w:rPr>
        <w:t>Los interesados podrán participar como</w:t>
      </w:r>
      <w:r w:rsidRPr="00C04C4B">
        <w:rPr>
          <w:rFonts w:ascii="Garamond" w:eastAsia="Arial,Times New Roman" w:hAnsi="Garamond" w:cs="Arial"/>
          <w:lang w:eastAsia="es-ES"/>
        </w:rPr>
        <w:t xml:space="preserve"> </w:t>
      </w:r>
      <w:r w:rsidRPr="00C04C4B">
        <w:rPr>
          <w:rFonts w:ascii="Garamond" w:hAnsi="Garamond" w:cs="Arial"/>
          <w:lang w:eastAsia="es-ES"/>
        </w:rPr>
        <w:t>Proponentes</w:t>
      </w:r>
      <w:r w:rsidRPr="00C04C4B">
        <w:rPr>
          <w:rFonts w:ascii="Garamond" w:hAnsi="Garamond" w:cs="Arial"/>
        </w:rPr>
        <w:t xml:space="preserve"> bajo alguna de las siguientes modalidades, siempre y cuando cumplan </w:t>
      </w:r>
      <w:r w:rsidRPr="00C04C4B">
        <w:rPr>
          <w:rFonts w:ascii="Garamond" w:hAnsi="Garamond" w:cs="Arial"/>
          <w:lang w:eastAsia="es-ES"/>
        </w:rPr>
        <w:t>los requisitos</w:t>
      </w:r>
      <w:r w:rsidRPr="00C04C4B">
        <w:rPr>
          <w:rFonts w:ascii="Garamond" w:hAnsi="Garamond" w:cs="Arial"/>
        </w:rPr>
        <w:t xml:space="preserve"> exigidos en el Pliego de Condiciones:</w:t>
      </w:r>
    </w:p>
    <w:p w14:paraId="14D3AFFE" w14:textId="77777777" w:rsidR="00C04C4B" w:rsidRPr="00C04C4B" w:rsidRDefault="00C04C4B" w:rsidP="00A23238">
      <w:pPr>
        <w:widowControl/>
        <w:numPr>
          <w:ilvl w:val="0"/>
          <w:numId w:val="33"/>
        </w:numPr>
        <w:autoSpaceDE w:val="0"/>
        <w:autoSpaceDN w:val="0"/>
        <w:adjustRightInd w:val="0"/>
        <w:spacing w:before="120" w:after="240"/>
        <w:jc w:val="both"/>
        <w:rPr>
          <w:rFonts w:ascii="Garamond" w:eastAsia="Arial,Times New Roman" w:hAnsi="Garamond" w:cs="Arial"/>
          <w:lang w:eastAsia="es-ES"/>
        </w:rPr>
      </w:pPr>
      <w:r w:rsidRPr="00C04C4B">
        <w:rPr>
          <w:rFonts w:ascii="Garamond" w:hAnsi="Garamond" w:cs="Arial"/>
          <w:lang w:eastAsia="es-ES"/>
        </w:rPr>
        <w:t>Individualmente,</w:t>
      </w:r>
      <w:r w:rsidRPr="00C04C4B">
        <w:rPr>
          <w:rFonts w:ascii="Garamond" w:eastAsia="Arial,Times New Roman" w:hAnsi="Garamond" w:cs="Arial"/>
          <w:lang w:eastAsia="es-ES"/>
        </w:rPr>
        <w:t xml:space="preserve"> </w:t>
      </w:r>
      <w:r w:rsidRPr="00C04C4B">
        <w:rPr>
          <w:rFonts w:ascii="Garamond" w:hAnsi="Garamond" w:cs="Arial"/>
          <w:lang w:eastAsia="es-ES"/>
        </w:rPr>
        <w:t>como:</w:t>
      </w:r>
      <w:r w:rsidRPr="00C04C4B">
        <w:rPr>
          <w:rFonts w:ascii="Garamond" w:eastAsia="Arial,Times New Roman" w:hAnsi="Garamond" w:cs="Arial"/>
          <w:lang w:eastAsia="es-ES"/>
        </w:rPr>
        <w:t xml:space="preserve"> </w:t>
      </w:r>
      <w:r w:rsidRPr="00C04C4B">
        <w:rPr>
          <w:rFonts w:ascii="Garamond" w:hAnsi="Garamond" w:cs="Arial"/>
          <w:lang w:eastAsia="es-ES"/>
        </w:rPr>
        <w:t>a)</w:t>
      </w:r>
      <w:r w:rsidRPr="00C04C4B">
        <w:rPr>
          <w:rFonts w:ascii="Garamond" w:eastAsia="Arial,Times New Roman" w:hAnsi="Garamond" w:cs="Arial"/>
          <w:lang w:eastAsia="es-ES"/>
        </w:rPr>
        <w:t xml:space="preserve"> </w:t>
      </w:r>
      <w:r w:rsidRPr="00C04C4B">
        <w:rPr>
          <w:rFonts w:ascii="Garamond" w:hAnsi="Garamond" w:cs="Arial"/>
          <w:lang w:eastAsia="es-ES"/>
        </w:rPr>
        <w:t>personas</w:t>
      </w:r>
      <w:r w:rsidRPr="00C04C4B">
        <w:rPr>
          <w:rFonts w:ascii="Garamond" w:eastAsia="Arial,Times New Roman" w:hAnsi="Garamond" w:cs="Arial"/>
          <w:lang w:eastAsia="es-ES"/>
        </w:rPr>
        <w:t xml:space="preserve"> </w:t>
      </w:r>
      <w:r w:rsidRPr="00C04C4B">
        <w:rPr>
          <w:rFonts w:ascii="Garamond" w:hAnsi="Garamond" w:cs="Arial"/>
          <w:lang w:eastAsia="es-ES"/>
        </w:rPr>
        <w:t>naturales</w:t>
      </w:r>
      <w:r w:rsidRPr="00C04C4B">
        <w:rPr>
          <w:rFonts w:ascii="Garamond" w:eastAsia="Arial,Times New Roman" w:hAnsi="Garamond" w:cs="Arial"/>
          <w:lang w:eastAsia="es-ES"/>
        </w:rPr>
        <w:t xml:space="preserve"> </w:t>
      </w:r>
      <w:r w:rsidRPr="00C04C4B">
        <w:rPr>
          <w:rFonts w:ascii="Garamond" w:hAnsi="Garamond" w:cs="Arial"/>
          <w:lang w:eastAsia="es-ES"/>
        </w:rPr>
        <w:t>nacionales</w:t>
      </w:r>
      <w:r w:rsidRPr="00C04C4B">
        <w:rPr>
          <w:rFonts w:ascii="Garamond" w:eastAsia="Arial,Times New Roman" w:hAnsi="Garamond" w:cs="Arial"/>
          <w:lang w:eastAsia="es-ES"/>
        </w:rPr>
        <w:t xml:space="preserve"> </w:t>
      </w:r>
      <w:r w:rsidRPr="00C04C4B">
        <w:rPr>
          <w:rFonts w:ascii="Garamond" w:hAnsi="Garamond" w:cs="Arial"/>
          <w:lang w:eastAsia="es-ES"/>
        </w:rPr>
        <w:t>o</w:t>
      </w:r>
      <w:r w:rsidRPr="00C04C4B">
        <w:rPr>
          <w:rFonts w:ascii="Garamond" w:eastAsia="Arial,Times New Roman" w:hAnsi="Garamond" w:cs="Arial"/>
          <w:lang w:eastAsia="es-ES"/>
        </w:rPr>
        <w:t xml:space="preserve"> </w:t>
      </w:r>
      <w:r w:rsidRPr="00C04C4B">
        <w:rPr>
          <w:rFonts w:ascii="Garamond" w:hAnsi="Garamond" w:cs="Arial"/>
          <w:lang w:eastAsia="es-ES"/>
        </w:rPr>
        <w:t>extranjeras,</w:t>
      </w:r>
      <w:r w:rsidRPr="00C04C4B">
        <w:rPr>
          <w:rFonts w:ascii="Garamond" w:eastAsia="Arial,Times New Roman" w:hAnsi="Garamond" w:cs="Arial"/>
          <w:lang w:eastAsia="es-ES"/>
        </w:rPr>
        <w:t xml:space="preserve"> </w:t>
      </w:r>
      <w:r w:rsidRPr="00C04C4B">
        <w:rPr>
          <w:rFonts w:ascii="Garamond" w:hAnsi="Garamond" w:cs="Arial"/>
          <w:lang w:eastAsia="es-ES"/>
        </w:rPr>
        <w:t>b)</w:t>
      </w:r>
      <w:r w:rsidRPr="00C04C4B">
        <w:rPr>
          <w:rFonts w:ascii="Garamond" w:eastAsia="Arial,Times New Roman" w:hAnsi="Garamond" w:cs="Arial"/>
          <w:lang w:eastAsia="es-ES"/>
        </w:rPr>
        <w:t xml:space="preserve"> </w:t>
      </w:r>
      <w:r w:rsidRPr="00C04C4B">
        <w:rPr>
          <w:rFonts w:ascii="Garamond" w:hAnsi="Garamond" w:cs="Arial"/>
          <w:lang w:eastAsia="es-ES"/>
        </w:rPr>
        <w:t>personas</w:t>
      </w:r>
      <w:r w:rsidRPr="00C04C4B">
        <w:rPr>
          <w:rFonts w:ascii="Garamond" w:eastAsia="Arial,Times New Roman" w:hAnsi="Garamond" w:cs="Arial"/>
          <w:lang w:eastAsia="es-ES"/>
        </w:rPr>
        <w:t xml:space="preserve"> </w:t>
      </w:r>
      <w:r w:rsidRPr="00C04C4B">
        <w:rPr>
          <w:rFonts w:ascii="Garamond" w:hAnsi="Garamond" w:cs="Arial"/>
          <w:lang w:eastAsia="es-ES"/>
        </w:rPr>
        <w:t>jurídicas</w:t>
      </w:r>
      <w:r w:rsidRPr="00C04C4B">
        <w:rPr>
          <w:rFonts w:ascii="Garamond" w:eastAsia="Arial,Times New Roman" w:hAnsi="Garamond" w:cs="Arial"/>
          <w:lang w:eastAsia="es-ES"/>
        </w:rPr>
        <w:t xml:space="preserve"> </w:t>
      </w:r>
      <w:r w:rsidRPr="00C04C4B">
        <w:rPr>
          <w:rFonts w:ascii="Garamond" w:hAnsi="Garamond" w:cs="Arial"/>
          <w:lang w:eastAsia="es-ES"/>
        </w:rPr>
        <w:t>nacionales</w:t>
      </w:r>
      <w:r w:rsidRPr="00C04C4B">
        <w:rPr>
          <w:rFonts w:ascii="Garamond" w:eastAsia="Arial,Times New Roman" w:hAnsi="Garamond" w:cs="Arial"/>
          <w:lang w:eastAsia="es-ES"/>
        </w:rPr>
        <w:t xml:space="preserve"> </w:t>
      </w:r>
      <w:r w:rsidRPr="00C04C4B">
        <w:rPr>
          <w:rFonts w:ascii="Garamond" w:hAnsi="Garamond" w:cs="Arial"/>
          <w:lang w:eastAsia="es-ES"/>
        </w:rPr>
        <w:t>o</w:t>
      </w:r>
      <w:r w:rsidRPr="00C04C4B">
        <w:rPr>
          <w:rFonts w:ascii="Garamond" w:eastAsia="Arial,Times New Roman" w:hAnsi="Garamond" w:cs="Arial"/>
          <w:lang w:eastAsia="es-ES"/>
        </w:rPr>
        <w:t xml:space="preserve"> </w:t>
      </w:r>
      <w:r w:rsidRPr="00C04C4B">
        <w:rPr>
          <w:rFonts w:ascii="Garamond" w:hAnsi="Garamond" w:cs="Arial"/>
          <w:lang w:eastAsia="es-ES"/>
        </w:rPr>
        <w:t>extranjeras.</w:t>
      </w:r>
    </w:p>
    <w:p w14:paraId="18134F1C" w14:textId="77777777" w:rsidR="00C04C4B" w:rsidRPr="00C04C4B" w:rsidRDefault="00C04C4B" w:rsidP="00A23238">
      <w:pPr>
        <w:widowControl/>
        <w:numPr>
          <w:ilvl w:val="0"/>
          <w:numId w:val="33"/>
        </w:numPr>
        <w:autoSpaceDE w:val="0"/>
        <w:autoSpaceDN w:val="0"/>
        <w:adjustRightInd w:val="0"/>
        <w:spacing w:before="120" w:after="240"/>
        <w:jc w:val="both"/>
        <w:rPr>
          <w:rFonts w:ascii="Garamond" w:eastAsia="Arial,Times New Roman" w:hAnsi="Garamond" w:cs="Arial"/>
          <w:lang w:eastAsia="es-ES"/>
        </w:rPr>
      </w:pPr>
      <w:r w:rsidRPr="00C04C4B">
        <w:rPr>
          <w:rFonts w:ascii="Garamond" w:hAnsi="Garamond" w:cs="Arial"/>
          <w:lang w:eastAsia="es-ES"/>
        </w:rPr>
        <w:lastRenderedPageBreak/>
        <w:t>Conjuntamente, como Proponentes Plurales</w:t>
      </w:r>
      <w:r w:rsidRPr="00C04C4B">
        <w:rPr>
          <w:rFonts w:ascii="Garamond" w:eastAsia="Arial,Times New Roman" w:hAnsi="Garamond" w:cs="Arial"/>
          <w:lang w:eastAsia="es-ES"/>
        </w:rPr>
        <w:t xml:space="preserve"> </w:t>
      </w:r>
      <w:r w:rsidRPr="00C04C4B">
        <w:rPr>
          <w:rFonts w:ascii="Garamond" w:hAnsi="Garamond" w:cs="Arial"/>
          <w:lang w:eastAsia="es-ES"/>
        </w:rPr>
        <w:t>en</w:t>
      </w:r>
      <w:r w:rsidRPr="00C04C4B">
        <w:rPr>
          <w:rFonts w:ascii="Garamond" w:eastAsia="Arial,Times New Roman" w:hAnsi="Garamond" w:cs="Arial"/>
          <w:lang w:eastAsia="es-ES"/>
        </w:rPr>
        <w:t xml:space="preserve"> </w:t>
      </w:r>
      <w:r w:rsidRPr="00C04C4B">
        <w:rPr>
          <w:rFonts w:ascii="Garamond" w:hAnsi="Garamond" w:cs="Arial"/>
          <w:lang w:eastAsia="es-ES"/>
        </w:rPr>
        <w:t>cualquiera</w:t>
      </w:r>
      <w:r w:rsidRPr="00C04C4B">
        <w:rPr>
          <w:rFonts w:ascii="Garamond" w:eastAsia="Arial,Times New Roman" w:hAnsi="Garamond" w:cs="Arial"/>
          <w:lang w:eastAsia="es-ES"/>
        </w:rPr>
        <w:t xml:space="preserve"> </w:t>
      </w:r>
      <w:r w:rsidRPr="00C04C4B">
        <w:rPr>
          <w:rFonts w:ascii="Garamond" w:hAnsi="Garamond" w:cs="Arial"/>
          <w:lang w:eastAsia="es-ES"/>
        </w:rPr>
        <w:t>de</w:t>
      </w:r>
      <w:r w:rsidRPr="00C04C4B">
        <w:rPr>
          <w:rFonts w:ascii="Garamond" w:eastAsia="Arial,Times New Roman" w:hAnsi="Garamond" w:cs="Arial"/>
          <w:lang w:eastAsia="es-ES"/>
        </w:rPr>
        <w:t xml:space="preserve"> </w:t>
      </w:r>
      <w:r w:rsidRPr="00C04C4B">
        <w:rPr>
          <w:rFonts w:ascii="Garamond" w:hAnsi="Garamond" w:cs="Arial"/>
          <w:lang w:eastAsia="es-ES"/>
        </w:rPr>
        <w:t>las</w:t>
      </w:r>
      <w:r w:rsidRPr="00C04C4B">
        <w:rPr>
          <w:rFonts w:ascii="Garamond" w:eastAsia="Arial,Times New Roman" w:hAnsi="Garamond" w:cs="Arial"/>
          <w:lang w:eastAsia="es-ES"/>
        </w:rPr>
        <w:t xml:space="preserve"> </w:t>
      </w:r>
      <w:r w:rsidRPr="00C04C4B">
        <w:rPr>
          <w:rFonts w:ascii="Garamond" w:hAnsi="Garamond" w:cs="Arial"/>
          <w:lang w:eastAsia="es-ES"/>
        </w:rPr>
        <w:t>formas</w:t>
      </w:r>
      <w:r w:rsidRPr="00C04C4B">
        <w:rPr>
          <w:rFonts w:ascii="Garamond" w:eastAsia="Arial,Times New Roman" w:hAnsi="Garamond" w:cs="Arial"/>
          <w:lang w:eastAsia="es-ES"/>
        </w:rPr>
        <w:t xml:space="preserve"> </w:t>
      </w:r>
      <w:r w:rsidRPr="00C04C4B">
        <w:rPr>
          <w:rFonts w:ascii="Garamond" w:hAnsi="Garamond" w:cs="Arial"/>
          <w:lang w:eastAsia="es-ES"/>
        </w:rPr>
        <w:t>de</w:t>
      </w:r>
      <w:r w:rsidRPr="00C04C4B">
        <w:rPr>
          <w:rFonts w:ascii="Garamond" w:eastAsia="Arial,Times New Roman" w:hAnsi="Garamond" w:cs="Arial"/>
          <w:lang w:eastAsia="es-ES"/>
        </w:rPr>
        <w:t xml:space="preserve"> </w:t>
      </w:r>
      <w:r w:rsidRPr="00C04C4B">
        <w:rPr>
          <w:rFonts w:ascii="Garamond" w:hAnsi="Garamond" w:cs="Arial"/>
          <w:lang w:eastAsia="es-ES"/>
        </w:rPr>
        <w:t>asociación</w:t>
      </w:r>
      <w:r w:rsidRPr="00C04C4B">
        <w:rPr>
          <w:rFonts w:ascii="Garamond" w:eastAsia="Arial,Times New Roman" w:hAnsi="Garamond" w:cs="Arial"/>
          <w:lang w:eastAsia="es-ES"/>
        </w:rPr>
        <w:t xml:space="preserve"> </w:t>
      </w:r>
      <w:r w:rsidRPr="00C04C4B">
        <w:rPr>
          <w:rFonts w:ascii="Garamond" w:hAnsi="Garamond" w:cs="Arial"/>
          <w:lang w:eastAsia="es-ES"/>
        </w:rPr>
        <w:t>previstas</w:t>
      </w:r>
      <w:r w:rsidRPr="00C04C4B">
        <w:rPr>
          <w:rFonts w:ascii="Garamond" w:eastAsia="Arial,Times New Roman" w:hAnsi="Garamond" w:cs="Arial"/>
          <w:lang w:eastAsia="es-ES"/>
        </w:rPr>
        <w:t xml:space="preserve"> </w:t>
      </w:r>
      <w:r w:rsidRPr="00C04C4B">
        <w:rPr>
          <w:rFonts w:ascii="Garamond" w:hAnsi="Garamond" w:cs="Arial"/>
          <w:lang w:eastAsia="es-ES"/>
        </w:rPr>
        <w:t>en</w:t>
      </w:r>
      <w:r w:rsidRPr="00C04C4B">
        <w:rPr>
          <w:rFonts w:ascii="Garamond" w:eastAsia="Arial,Times New Roman" w:hAnsi="Garamond" w:cs="Arial"/>
          <w:lang w:eastAsia="es-ES"/>
        </w:rPr>
        <w:t xml:space="preserve"> </w:t>
      </w:r>
      <w:r w:rsidRPr="00C04C4B">
        <w:rPr>
          <w:rFonts w:ascii="Garamond" w:hAnsi="Garamond" w:cs="Arial"/>
          <w:lang w:eastAsia="es-ES"/>
        </w:rPr>
        <w:t>el</w:t>
      </w:r>
      <w:r w:rsidRPr="00C04C4B">
        <w:rPr>
          <w:rFonts w:ascii="Garamond" w:eastAsia="Arial,Times New Roman" w:hAnsi="Garamond" w:cs="Arial"/>
          <w:lang w:eastAsia="es-ES"/>
        </w:rPr>
        <w:t xml:space="preserve"> </w:t>
      </w:r>
      <w:r w:rsidRPr="00C04C4B">
        <w:rPr>
          <w:rFonts w:ascii="Garamond" w:hAnsi="Garamond" w:cs="Arial"/>
          <w:lang w:eastAsia="es-ES"/>
        </w:rPr>
        <w:t>artículo</w:t>
      </w:r>
      <w:r w:rsidRPr="00C04C4B">
        <w:rPr>
          <w:rFonts w:ascii="Garamond" w:eastAsia="Arial,Times New Roman" w:hAnsi="Garamond" w:cs="Arial"/>
          <w:lang w:eastAsia="es-ES"/>
        </w:rPr>
        <w:t xml:space="preserve"> </w:t>
      </w:r>
      <w:r w:rsidRPr="00C04C4B">
        <w:rPr>
          <w:rFonts w:ascii="Garamond" w:hAnsi="Garamond" w:cs="Arial"/>
          <w:lang w:eastAsia="es-ES"/>
        </w:rPr>
        <w:t>7</w:t>
      </w:r>
      <w:r w:rsidRPr="00C04C4B">
        <w:rPr>
          <w:rFonts w:ascii="Garamond" w:eastAsia="Arial,Times New Roman" w:hAnsi="Garamond" w:cs="Arial"/>
          <w:lang w:eastAsia="es-ES"/>
        </w:rPr>
        <w:t xml:space="preserve"> </w:t>
      </w:r>
      <w:r w:rsidRPr="00C04C4B">
        <w:rPr>
          <w:rFonts w:ascii="Garamond" w:hAnsi="Garamond" w:cs="Arial"/>
          <w:lang w:eastAsia="es-ES"/>
        </w:rPr>
        <w:t>de</w:t>
      </w:r>
      <w:r w:rsidRPr="00C04C4B">
        <w:rPr>
          <w:rFonts w:ascii="Garamond" w:eastAsia="Arial,Times New Roman" w:hAnsi="Garamond" w:cs="Arial"/>
          <w:lang w:eastAsia="es-ES"/>
        </w:rPr>
        <w:t xml:space="preserve"> </w:t>
      </w:r>
      <w:r w:rsidRPr="00C04C4B">
        <w:rPr>
          <w:rFonts w:ascii="Garamond" w:hAnsi="Garamond" w:cs="Arial"/>
          <w:lang w:eastAsia="es-ES"/>
        </w:rPr>
        <w:t>la</w:t>
      </w:r>
      <w:r w:rsidRPr="00C04C4B">
        <w:rPr>
          <w:rFonts w:ascii="Garamond" w:eastAsia="Arial,Times New Roman" w:hAnsi="Garamond" w:cs="Arial"/>
          <w:lang w:eastAsia="es-ES"/>
        </w:rPr>
        <w:t xml:space="preserve"> </w:t>
      </w:r>
      <w:r w:rsidRPr="00C04C4B">
        <w:rPr>
          <w:rFonts w:ascii="Garamond" w:hAnsi="Garamond" w:cs="Arial"/>
          <w:lang w:eastAsia="es-ES"/>
        </w:rPr>
        <w:t>Ley</w:t>
      </w:r>
      <w:r w:rsidRPr="00C04C4B">
        <w:rPr>
          <w:rFonts w:ascii="Garamond" w:eastAsia="Arial,Times New Roman" w:hAnsi="Garamond" w:cs="Arial"/>
          <w:lang w:eastAsia="es-ES"/>
        </w:rPr>
        <w:t xml:space="preserve"> </w:t>
      </w:r>
      <w:r w:rsidRPr="00C04C4B">
        <w:rPr>
          <w:rFonts w:ascii="Garamond" w:hAnsi="Garamond" w:cs="Arial"/>
          <w:lang w:eastAsia="es-ES"/>
        </w:rPr>
        <w:t>80</w:t>
      </w:r>
      <w:r w:rsidRPr="00C04C4B">
        <w:rPr>
          <w:rFonts w:ascii="Garamond" w:eastAsia="Arial,Times New Roman" w:hAnsi="Garamond" w:cs="Arial"/>
          <w:lang w:eastAsia="es-ES"/>
        </w:rPr>
        <w:t xml:space="preserve"> </w:t>
      </w:r>
      <w:r w:rsidRPr="00C04C4B">
        <w:rPr>
          <w:rFonts w:ascii="Garamond" w:hAnsi="Garamond" w:cs="Arial"/>
          <w:lang w:eastAsia="es-ES"/>
        </w:rPr>
        <w:t>de</w:t>
      </w:r>
      <w:r w:rsidRPr="00C04C4B">
        <w:rPr>
          <w:rFonts w:ascii="Garamond" w:eastAsia="Arial,Times New Roman" w:hAnsi="Garamond" w:cs="Arial"/>
          <w:lang w:eastAsia="es-ES"/>
        </w:rPr>
        <w:t xml:space="preserve"> </w:t>
      </w:r>
      <w:r w:rsidRPr="00C04C4B">
        <w:rPr>
          <w:rFonts w:ascii="Garamond" w:hAnsi="Garamond" w:cs="Arial"/>
          <w:lang w:eastAsia="es-ES"/>
        </w:rPr>
        <w:t>1993.</w:t>
      </w:r>
    </w:p>
    <w:p w14:paraId="37CEA29D" w14:textId="77777777" w:rsidR="00C04C4B" w:rsidRPr="00C04C4B" w:rsidRDefault="00C04C4B" w:rsidP="00C04C4B">
      <w:pPr>
        <w:autoSpaceDE w:val="0"/>
        <w:autoSpaceDN w:val="0"/>
        <w:adjustRightInd w:val="0"/>
        <w:spacing w:before="120" w:after="240"/>
        <w:jc w:val="both"/>
        <w:rPr>
          <w:rFonts w:ascii="Garamond" w:hAnsi="Garamond" w:cs="Arial"/>
        </w:rPr>
      </w:pPr>
      <w:r w:rsidRPr="00C04C4B">
        <w:rPr>
          <w:rFonts w:ascii="Garamond" w:hAnsi="Garamond" w:cs="Arial"/>
          <w:lang w:eastAsia="es-ES"/>
        </w:rPr>
        <w:t>Los</w:t>
      </w:r>
      <w:r w:rsidRPr="00C04C4B">
        <w:rPr>
          <w:rFonts w:ascii="Garamond" w:eastAsia="Arial,Times New Roman" w:hAnsi="Garamond" w:cs="Arial"/>
          <w:lang w:eastAsia="es-ES"/>
        </w:rPr>
        <w:t xml:space="preserve"> </w:t>
      </w:r>
      <w:r w:rsidRPr="00C04C4B">
        <w:rPr>
          <w:rFonts w:ascii="Garamond" w:hAnsi="Garamond" w:cs="Arial"/>
        </w:rPr>
        <w:t>Proponentes debe</w:t>
      </w:r>
      <w:r w:rsidRPr="00C04C4B">
        <w:rPr>
          <w:rFonts w:ascii="Garamond" w:hAnsi="Garamond" w:cs="Arial"/>
          <w:lang w:val="es-ES" w:eastAsia="es-ES"/>
        </w:rPr>
        <w:t>n</w:t>
      </w:r>
      <w:r w:rsidRPr="00C04C4B">
        <w:rPr>
          <w:rFonts w:ascii="Garamond" w:hAnsi="Garamond" w:cs="Arial"/>
        </w:rPr>
        <w:t>:</w:t>
      </w:r>
    </w:p>
    <w:p w14:paraId="0D4138C8" w14:textId="77777777" w:rsidR="00C04C4B" w:rsidRPr="00C04C4B" w:rsidRDefault="00C04C4B" w:rsidP="00A23238">
      <w:pPr>
        <w:widowControl/>
        <w:numPr>
          <w:ilvl w:val="0"/>
          <w:numId w:val="34"/>
        </w:numPr>
        <w:tabs>
          <w:tab w:val="left" w:pos="-142"/>
        </w:tabs>
        <w:autoSpaceDE w:val="0"/>
        <w:autoSpaceDN w:val="0"/>
        <w:adjustRightInd w:val="0"/>
        <w:spacing w:before="120" w:after="240"/>
        <w:jc w:val="both"/>
        <w:rPr>
          <w:rFonts w:ascii="Garamond" w:eastAsia="Arial,Times New Roman" w:hAnsi="Garamond" w:cs="Arial"/>
          <w:lang w:eastAsia="es-ES"/>
        </w:rPr>
      </w:pPr>
      <w:r w:rsidRPr="00C04C4B">
        <w:rPr>
          <w:rFonts w:ascii="Garamond" w:hAnsi="Garamond" w:cs="Arial"/>
          <w:lang w:eastAsia="es-ES"/>
        </w:rPr>
        <w:t>Tener</w:t>
      </w:r>
      <w:r w:rsidRPr="00C04C4B">
        <w:rPr>
          <w:rFonts w:ascii="Garamond" w:eastAsia="Arial,Times New Roman" w:hAnsi="Garamond" w:cs="Arial"/>
          <w:lang w:eastAsia="es-ES"/>
        </w:rPr>
        <w:t xml:space="preserve"> </w:t>
      </w:r>
      <w:r w:rsidRPr="00C04C4B">
        <w:rPr>
          <w:rFonts w:ascii="Garamond" w:hAnsi="Garamond" w:cs="Arial"/>
          <w:lang w:eastAsia="es-ES"/>
        </w:rPr>
        <w:t>capacidad</w:t>
      </w:r>
      <w:r w:rsidRPr="00C04C4B">
        <w:rPr>
          <w:rFonts w:ascii="Garamond" w:eastAsia="Arial,Times New Roman" w:hAnsi="Garamond" w:cs="Arial"/>
          <w:lang w:eastAsia="es-ES"/>
        </w:rPr>
        <w:t xml:space="preserve"> </w:t>
      </w:r>
      <w:r w:rsidRPr="00C04C4B">
        <w:rPr>
          <w:rFonts w:ascii="Garamond" w:hAnsi="Garamond" w:cs="Arial"/>
          <w:lang w:eastAsia="es-ES"/>
        </w:rPr>
        <w:t>jurídica</w:t>
      </w:r>
      <w:r w:rsidRPr="00C04C4B">
        <w:rPr>
          <w:rFonts w:ascii="Garamond" w:eastAsia="Arial,Times New Roman" w:hAnsi="Garamond" w:cs="Arial"/>
          <w:lang w:eastAsia="es-ES"/>
        </w:rPr>
        <w:t xml:space="preserve"> </w:t>
      </w:r>
      <w:r w:rsidRPr="00C04C4B">
        <w:rPr>
          <w:rFonts w:ascii="Garamond" w:hAnsi="Garamond" w:cs="Arial"/>
          <w:lang w:eastAsia="es-ES"/>
        </w:rPr>
        <w:t>para</w:t>
      </w:r>
      <w:r w:rsidRPr="00C04C4B">
        <w:rPr>
          <w:rFonts w:ascii="Garamond" w:eastAsia="Arial,Times New Roman" w:hAnsi="Garamond" w:cs="Arial"/>
          <w:lang w:eastAsia="es-ES"/>
        </w:rPr>
        <w:t xml:space="preserve"> </w:t>
      </w:r>
      <w:r w:rsidRPr="00C04C4B">
        <w:rPr>
          <w:rFonts w:ascii="Garamond" w:hAnsi="Garamond" w:cs="Arial"/>
          <w:lang w:eastAsia="es-ES"/>
        </w:rPr>
        <w:t>la presentación de la</w:t>
      </w:r>
      <w:r w:rsidRPr="00C04C4B">
        <w:rPr>
          <w:rFonts w:ascii="Garamond" w:eastAsia="Arial,Times New Roman" w:hAnsi="Garamond" w:cs="Arial"/>
          <w:lang w:eastAsia="es-ES"/>
        </w:rPr>
        <w:t xml:space="preserve"> </w:t>
      </w:r>
      <w:r w:rsidRPr="00C04C4B">
        <w:rPr>
          <w:rFonts w:ascii="Garamond" w:hAnsi="Garamond" w:cs="Arial"/>
          <w:lang w:eastAsia="es-ES"/>
        </w:rPr>
        <w:t>oferta.</w:t>
      </w:r>
    </w:p>
    <w:p w14:paraId="1A2BF8AC" w14:textId="77777777" w:rsidR="00C04C4B" w:rsidRPr="00C04C4B" w:rsidRDefault="00C04C4B" w:rsidP="00A23238">
      <w:pPr>
        <w:widowControl/>
        <w:numPr>
          <w:ilvl w:val="0"/>
          <w:numId w:val="34"/>
        </w:numPr>
        <w:autoSpaceDE w:val="0"/>
        <w:autoSpaceDN w:val="0"/>
        <w:adjustRightInd w:val="0"/>
        <w:spacing w:before="120" w:after="240"/>
        <w:jc w:val="both"/>
        <w:rPr>
          <w:rFonts w:ascii="Garamond" w:eastAsia="Arial,Times New Roman" w:hAnsi="Garamond" w:cs="Arial"/>
          <w:lang w:eastAsia="es-ES"/>
        </w:rPr>
      </w:pPr>
      <w:r w:rsidRPr="00C04C4B">
        <w:rPr>
          <w:rFonts w:ascii="Garamond" w:hAnsi="Garamond" w:cs="Arial"/>
          <w:lang w:eastAsia="es-ES"/>
        </w:rPr>
        <w:t>Tener</w:t>
      </w:r>
      <w:r w:rsidRPr="00C04C4B">
        <w:rPr>
          <w:rFonts w:ascii="Garamond" w:eastAsia="Arial,Times New Roman" w:hAnsi="Garamond" w:cs="Arial"/>
          <w:lang w:eastAsia="es-ES"/>
        </w:rPr>
        <w:t xml:space="preserve"> </w:t>
      </w:r>
      <w:r w:rsidRPr="00C04C4B">
        <w:rPr>
          <w:rFonts w:ascii="Garamond" w:hAnsi="Garamond" w:cs="Arial"/>
          <w:lang w:eastAsia="es-ES"/>
        </w:rPr>
        <w:t>capacidad</w:t>
      </w:r>
      <w:r w:rsidRPr="00C04C4B">
        <w:rPr>
          <w:rFonts w:ascii="Garamond" w:eastAsia="Arial,Times New Roman" w:hAnsi="Garamond" w:cs="Arial"/>
          <w:lang w:eastAsia="es-ES"/>
        </w:rPr>
        <w:t xml:space="preserve"> </w:t>
      </w:r>
      <w:r w:rsidRPr="00C04C4B">
        <w:rPr>
          <w:rFonts w:ascii="Garamond" w:hAnsi="Garamond" w:cs="Arial"/>
          <w:lang w:eastAsia="es-ES"/>
        </w:rPr>
        <w:t>jurídica</w:t>
      </w:r>
      <w:r w:rsidRPr="00C04C4B">
        <w:rPr>
          <w:rFonts w:ascii="Garamond" w:eastAsia="Arial,Times New Roman" w:hAnsi="Garamond" w:cs="Arial"/>
          <w:lang w:eastAsia="es-ES"/>
        </w:rPr>
        <w:t xml:space="preserve"> </w:t>
      </w:r>
      <w:r w:rsidRPr="00C04C4B">
        <w:rPr>
          <w:rFonts w:ascii="Garamond" w:hAnsi="Garamond" w:cs="Arial"/>
          <w:lang w:eastAsia="es-ES"/>
        </w:rPr>
        <w:t>para</w:t>
      </w:r>
      <w:r w:rsidRPr="00C04C4B">
        <w:rPr>
          <w:rFonts w:ascii="Garamond" w:eastAsia="Arial,Times New Roman" w:hAnsi="Garamond" w:cs="Arial"/>
          <w:lang w:eastAsia="es-ES"/>
        </w:rPr>
        <w:t xml:space="preserve"> </w:t>
      </w:r>
      <w:r w:rsidRPr="00C04C4B">
        <w:rPr>
          <w:rFonts w:ascii="Garamond" w:hAnsi="Garamond" w:cs="Arial"/>
          <w:lang w:eastAsia="es-ES"/>
        </w:rPr>
        <w:t>la celebración y ejecución del</w:t>
      </w:r>
      <w:r w:rsidRPr="00C04C4B">
        <w:rPr>
          <w:rFonts w:ascii="Garamond" w:eastAsia="Arial,Times New Roman" w:hAnsi="Garamond" w:cs="Arial"/>
          <w:lang w:eastAsia="es-ES"/>
        </w:rPr>
        <w:t xml:space="preserve"> </w:t>
      </w:r>
      <w:r w:rsidRPr="00C04C4B">
        <w:rPr>
          <w:rFonts w:ascii="Garamond" w:hAnsi="Garamond" w:cs="Arial"/>
          <w:lang w:eastAsia="es-ES"/>
        </w:rPr>
        <w:t>contrato.</w:t>
      </w:r>
    </w:p>
    <w:p w14:paraId="23EF91D0" w14:textId="77777777" w:rsidR="00C04C4B" w:rsidRPr="00C04C4B" w:rsidRDefault="00C04C4B" w:rsidP="00A23238">
      <w:pPr>
        <w:widowControl/>
        <w:numPr>
          <w:ilvl w:val="0"/>
          <w:numId w:val="34"/>
        </w:numPr>
        <w:autoSpaceDE w:val="0"/>
        <w:autoSpaceDN w:val="0"/>
        <w:adjustRightInd w:val="0"/>
        <w:spacing w:before="120" w:after="240"/>
        <w:jc w:val="both"/>
        <w:rPr>
          <w:rFonts w:ascii="Garamond" w:eastAsia="Arial,Times New Roman" w:hAnsi="Garamond" w:cs="Arial"/>
          <w:lang w:eastAsia="es-ES"/>
        </w:rPr>
      </w:pPr>
      <w:r w:rsidRPr="00C04C4B">
        <w:rPr>
          <w:rFonts w:ascii="Garamond" w:hAnsi="Garamond" w:cs="Arial"/>
          <w:lang w:eastAsia="es-ES"/>
        </w:rPr>
        <w:t>No</w:t>
      </w:r>
      <w:r w:rsidRPr="00C04C4B">
        <w:rPr>
          <w:rFonts w:ascii="Garamond" w:eastAsia="Arial,Times New Roman" w:hAnsi="Garamond" w:cs="Arial"/>
          <w:lang w:eastAsia="es-ES"/>
        </w:rPr>
        <w:t xml:space="preserve"> </w:t>
      </w:r>
      <w:r w:rsidRPr="00C04C4B">
        <w:rPr>
          <w:rFonts w:ascii="Garamond" w:hAnsi="Garamond" w:cs="Arial"/>
          <w:lang w:eastAsia="es-ES"/>
        </w:rPr>
        <w:t>estar</w:t>
      </w:r>
      <w:r w:rsidRPr="00C04C4B">
        <w:rPr>
          <w:rFonts w:ascii="Garamond" w:eastAsia="Arial,Times New Roman" w:hAnsi="Garamond" w:cs="Arial"/>
          <w:lang w:eastAsia="es-ES"/>
        </w:rPr>
        <w:t xml:space="preserve"> </w:t>
      </w:r>
      <w:r w:rsidRPr="00C04C4B">
        <w:rPr>
          <w:rFonts w:ascii="Garamond" w:hAnsi="Garamond" w:cs="Arial"/>
          <w:lang w:eastAsia="es-ES"/>
        </w:rPr>
        <w:t>incursos</w:t>
      </w:r>
      <w:r w:rsidRPr="00C04C4B">
        <w:rPr>
          <w:rFonts w:ascii="Garamond" w:eastAsia="Arial,Times New Roman" w:hAnsi="Garamond" w:cs="Arial"/>
          <w:lang w:eastAsia="es-ES"/>
        </w:rPr>
        <w:t xml:space="preserve"> </w:t>
      </w:r>
      <w:r w:rsidRPr="00C04C4B">
        <w:rPr>
          <w:rFonts w:ascii="Garamond" w:hAnsi="Garamond" w:cs="Arial"/>
          <w:lang w:eastAsia="es-ES"/>
        </w:rPr>
        <w:t>en</w:t>
      </w:r>
      <w:r w:rsidRPr="00C04C4B">
        <w:rPr>
          <w:rFonts w:ascii="Garamond" w:eastAsia="Arial,Times New Roman" w:hAnsi="Garamond" w:cs="Arial"/>
          <w:lang w:eastAsia="es-ES"/>
        </w:rPr>
        <w:t xml:space="preserve"> </w:t>
      </w:r>
      <w:r w:rsidRPr="00C04C4B">
        <w:rPr>
          <w:rFonts w:ascii="Garamond" w:hAnsi="Garamond" w:cs="Arial"/>
          <w:lang w:eastAsia="es-ES"/>
        </w:rPr>
        <w:t>ninguna</w:t>
      </w:r>
      <w:r w:rsidRPr="00C04C4B">
        <w:rPr>
          <w:rFonts w:ascii="Garamond" w:eastAsia="Arial,Times New Roman" w:hAnsi="Garamond" w:cs="Arial"/>
          <w:lang w:eastAsia="es-ES"/>
        </w:rPr>
        <w:t xml:space="preserve"> </w:t>
      </w:r>
      <w:r w:rsidRPr="00C04C4B">
        <w:rPr>
          <w:rFonts w:ascii="Garamond" w:hAnsi="Garamond" w:cs="Arial"/>
          <w:lang w:eastAsia="es-ES"/>
        </w:rPr>
        <w:t>de</w:t>
      </w:r>
      <w:r w:rsidRPr="00C04C4B">
        <w:rPr>
          <w:rFonts w:ascii="Garamond" w:eastAsia="Arial,Times New Roman" w:hAnsi="Garamond" w:cs="Arial"/>
          <w:lang w:eastAsia="es-ES"/>
        </w:rPr>
        <w:t xml:space="preserve"> </w:t>
      </w:r>
      <w:r w:rsidRPr="00C04C4B">
        <w:rPr>
          <w:rFonts w:ascii="Garamond" w:hAnsi="Garamond" w:cs="Arial"/>
          <w:lang w:eastAsia="es-ES"/>
        </w:rPr>
        <w:t>las</w:t>
      </w:r>
      <w:r w:rsidRPr="00C04C4B">
        <w:rPr>
          <w:rFonts w:ascii="Garamond" w:eastAsia="Arial,Times New Roman" w:hAnsi="Garamond" w:cs="Arial"/>
          <w:lang w:eastAsia="es-ES"/>
        </w:rPr>
        <w:t xml:space="preserve"> </w:t>
      </w:r>
      <w:r w:rsidRPr="00C04C4B">
        <w:rPr>
          <w:rFonts w:ascii="Garamond" w:hAnsi="Garamond" w:cs="Arial"/>
          <w:lang w:eastAsia="es-ES"/>
        </w:rPr>
        <w:t>circunstancias</w:t>
      </w:r>
      <w:r w:rsidRPr="00C04C4B">
        <w:rPr>
          <w:rFonts w:ascii="Garamond" w:eastAsia="Arial,Times New Roman" w:hAnsi="Garamond" w:cs="Arial"/>
          <w:lang w:eastAsia="es-ES"/>
        </w:rPr>
        <w:t xml:space="preserve"> </w:t>
      </w:r>
      <w:r w:rsidRPr="00C04C4B">
        <w:rPr>
          <w:rFonts w:ascii="Garamond" w:hAnsi="Garamond" w:cs="Arial"/>
          <w:lang w:eastAsia="es-ES"/>
        </w:rPr>
        <w:t>de</w:t>
      </w:r>
      <w:r w:rsidRPr="00C04C4B">
        <w:rPr>
          <w:rFonts w:ascii="Garamond" w:eastAsia="Arial,Times New Roman" w:hAnsi="Garamond" w:cs="Arial"/>
          <w:lang w:eastAsia="es-ES"/>
        </w:rPr>
        <w:t xml:space="preserve"> </w:t>
      </w:r>
      <w:r w:rsidRPr="00C04C4B">
        <w:rPr>
          <w:rFonts w:ascii="Garamond" w:hAnsi="Garamond" w:cs="Arial"/>
          <w:lang w:eastAsia="es-ES"/>
        </w:rPr>
        <w:t>inhabilidad</w:t>
      </w:r>
      <w:r w:rsidRPr="00C04C4B">
        <w:rPr>
          <w:rFonts w:ascii="Garamond" w:hAnsi="Garamond" w:cs="Arial"/>
        </w:rPr>
        <w:t xml:space="preserve">, incompatibilidad, conflicto de interés o prohibición para contratar previstas </w:t>
      </w:r>
      <w:r w:rsidRPr="00C04C4B">
        <w:rPr>
          <w:rFonts w:ascii="Garamond" w:hAnsi="Garamond" w:cs="Arial"/>
          <w:lang w:eastAsia="es-ES"/>
        </w:rPr>
        <w:t>en</w:t>
      </w:r>
      <w:r w:rsidRPr="00C04C4B">
        <w:rPr>
          <w:rFonts w:ascii="Garamond" w:eastAsia="Arial,Times New Roman" w:hAnsi="Garamond" w:cs="Arial"/>
          <w:lang w:eastAsia="es-ES"/>
        </w:rPr>
        <w:t xml:space="preserve"> </w:t>
      </w:r>
      <w:r w:rsidRPr="00C04C4B">
        <w:rPr>
          <w:rFonts w:ascii="Garamond" w:hAnsi="Garamond" w:cs="Arial"/>
          <w:lang w:eastAsia="es-ES"/>
        </w:rPr>
        <w:t>la</w:t>
      </w:r>
      <w:r w:rsidRPr="00C04C4B">
        <w:rPr>
          <w:rFonts w:ascii="Garamond" w:eastAsia="Arial,Times New Roman" w:hAnsi="Garamond" w:cs="Arial"/>
          <w:lang w:eastAsia="es-ES"/>
        </w:rPr>
        <w:t xml:space="preserve"> </w:t>
      </w:r>
      <w:r w:rsidRPr="00C04C4B">
        <w:rPr>
          <w:rFonts w:ascii="Garamond" w:hAnsi="Garamond" w:cs="Arial"/>
          <w:lang w:eastAsia="es-ES"/>
        </w:rPr>
        <w:t>Constitución</w:t>
      </w:r>
      <w:r w:rsidRPr="00C04C4B">
        <w:rPr>
          <w:rFonts w:ascii="Garamond" w:eastAsia="Arial,Times New Roman" w:hAnsi="Garamond" w:cs="Arial"/>
          <w:lang w:eastAsia="es-ES"/>
        </w:rPr>
        <w:t xml:space="preserve"> </w:t>
      </w:r>
      <w:r w:rsidRPr="00C04C4B">
        <w:rPr>
          <w:rFonts w:ascii="Garamond" w:hAnsi="Garamond" w:cs="Arial"/>
          <w:lang w:eastAsia="es-ES"/>
        </w:rPr>
        <w:t>y</w:t>
      </w:r>
      <w:r w:rsidRPr="00C04C4B">
        <w:rPr>
          <w:rFonts w:ascii="Garamond" w:eastAsia="Arial,Times New Roman" w:hAnsi="Garamond" w:cs="Arial"/>
          <w:lang w:eastAsia="es-ES"/>
        </w:rPr>
        <w:t xml:space="preserve"> </w:t>
      </w:r>
      <w:r w:rsidRPr="00C04C4B">
        <w:rPr>
          <w:rFonts w:ascii="Garamond" w:hAnsi="Garamond" w:cs="Arial"/>
          <w:lang w:eastAsia="es-ES"/>
        </w:rPr>
        <w:t>en</w:t>
      </w:r>
      <w:r w:rsidRPr="00C04C4B">
        <w:rPr>
          <w:rFonts w:ascii="Garamond" w:eastAsia="Arial,Times New Roman" w:hAnsi="Garamond" w:cs="Arial"/>
          <w:lang w:eastAsia="es-ES"/>
        </w:rPr>
        <w:t xml:space="preserve"> </w:t>
      </w:r>
      <w:r w:rsidRPr="00C04C4B">
        <w:rPr>
          <w:rFonts w:ascii="Garamond" w:hAnsi="Garamond" w:cs="Arial"/>
          <w:lang w:eastAsia="es-ES"/>
        </w:rPr>
        <w:t>la</w:t>
      </w:r>
      <w:r w:rsidRPr="00C04C4B">
        <w:rPr>
          <w:rFonts w:ascii="Garamond" w:eastAsia="Arial,Times New Roman" w:hAnsi="Garamond" w:cs="Arial"/>
          <w:lang w:eastAsia="es-ES"/>
        </w:rPr>
        <w:t xml:space="preserve"> </w:t>
      </w:r>
      <w:r w:rsidRPr="00C04C4B">
        <w:rPr>
          <w:rFonts w:ascii="Garamond" w:hAnsi="Garamond" w:cs="Arial"/>
          <w:lang w:eastAsia="es-ES"/>
        </w:rPr>
        <w:t xml:space="preserve">ley </w:t>
      </w:r>
    </w:p>
    <w:p w14:paraId="38B99C4C" w14:textId="77777777" w:rsidR="00C04C4B" w:rsidRPr="00C04C4B" w:rsidRDefault="00C04C4B" w:rsidP="00A23238">
      <w:pPr>
        <w:widowControl/>
        <w:numPr>
          <w:ilvl w:val="0"/>
          <w:numId w:val="34"/>
        </w:numPr>
        <w:autoSpaceDE w:val="0"/>
        <w:autoSpaceDN w:val="0"/>
        <w:adjustRightInd w:val="0"/>
        <w:spacing w:before="120" w:after="240"/>
        <w:jc w:val="both"/>
        <w:rPr>
          <w:rFonts w:ascii="Garamond" w:hAnsi="Garamond" w:cs="Arial"/>
          <w:lang w:eastAsia="es-ES"/>
        </w:rPr>
      </w:pPr>
      <w:r w:rsidRPr="00C04C4B">
        <w:rPr>
          <w:rFonts w:ascii="Garamond" w:hAnsi="Garamond" w:cs="Arial"/>
          <w:lang w:eastAsia="es-ES"/>
        </w:rPr>
        <w:t>No</w:t>
      </w:r>
      <w:r w:rsidRPr="00C04C4B">
        <w:rPr>
          <w:rFonts w:ascii="Garamond" w:eastAsia="Arial,Times New Roman" w:hAnsi="Garamond" w:cs="Arial"/>
          <w:lang w:eastAsia="es-ES"/>
        </w:rPr>
        <w:t xml:space="preserve"> </w:t>
      </w:r>
      <w:r w:rsidRPr="00C04C4B">
        <w:rPr>
          <w:rFonts w:ascii="Garamond" w:hAnsi="Garamond" w:cs="Arial"/>
          <w:lang w:eastAsia="es-ES"/>
        </w:rPr>
        <w:t>estar</w:t>
      </w:r>
      <w:r w:rsidRPr="00C04C4B">
        <w:rPr>
          <w:rFonts w:ascii="Garamond" w:eastAsia="Arial,Times New Roman" w:hAnsi="Garamond" w:cs="Arial"/>
          <w:lang w:eastAsia="es-ES"/>
        </w:rPr>
        <w:t xml:space="preserve"> </w:t>
      </w:r>
      <w:r w:rsidRPr="00C04C4B">
        <w:rPr>
          <w:rFonts w:ascii="Garamond" w:hAnsi="Garamond" w:cs="Arial"/>
          <w:lang w:eastAsia="es-ES"/>
        </w:rPr>
        <w:t>reportados</w:t>
      </w:r>
      <w:r w:rsidRPr="00C04C4B">
        <w:rPr>
          <w:rFonts w:ascii="Garamond" w:eastAsia="Arial,Times New Roman" w:hAnsi="Garamond" w:cs="Arial"/>
          <w:lang w:eastAsia="es-ES"/>
        </w:rPr>
        <w:t xml:space="preserve"> </w:t>
      </w:r>
      <w:r w:rsidRPr="00C04C4B">
        <w:rPr>
          <w:rFonts w:ascii="Garamond" w:hAnsi="Garamond" w:cs="Arial"/>
          <w:lang w:eastAsia="es-ES"/>
        </w:rPr>
        <w:t>en</w:t>
      </w:r>
      <w:r w:rsidRPr="00C04C4B">
        <w:rPr>
          <w:rFonts w:ascii="Garamond" w:eastAsia="Arial,Times New Roman" w:hAnsi="Garamond" w:cs="Arial"/>
          <w:lang w:eastAsia="es-ES"/>
        </w:rPr>
        <w:t xml:space="preserve"> </w:t>
      </w:r>
      <w:r w:rsidRPr="00C04C4B">
        <w:rPr>
          <w:rFonts w:ascii="Garamond" w:hAnsi="Garamond" w:cs="Arial"/>
          <w:lang w:eastAsia="es-ES"/>
        </w:rPr>
        <w:t>el</w:t>
      </w:r>
      <w:r w:rsidRPr="00C04C4B">
        <w:rPr>
          <w:rFonts w:ascii="Garamond" w:eastAsia="Arial,Times New Roman" w:hAnsi="Garamond" w:cs="Arial"/>
          <w:lang w:eastAsia="es-ES"/>
        </w:rPr>
        <w:t xml:space="preserve"> </w:t>
      </w:r>
      <w:r w:rsidRPr="00C04C4B">
        <w:rPr>
          <w:rFonts w:ascii="Garamond" w:hAnsi="Garamond" w:cs="Arial"/>
          <w:lang w:eastAsia="es-ES"/>
        </w:rPr>
        <w:t>último</w:t>
      </w:r>
      <w:r w:rsidRPr="00C04C4B">
        <w:rPr>
          <w:rFonts w:ascii="Garamond" w:eastAsia="Arial,Times New Roman" w:hAnsi="Garamond" w:cs="Arial"/>
          <w:lang w:eastAsia="es-ES"/>
        </w:rPr>
        <w:t xml:space="preserve"> </w:t>
      </w:r>
      <w:r w:rsidRPr="00C04C4B">
        <w:rPr>
          <w:rFonts w:ascii="Garamond" w:hAnsi="Garamond" w:cs="Arial"/>
          <w:lang w:eastAsia="es-ES"/>
        </w:rPr>
        <w:t>boletín</w:t>
      </w:r>
      <w:r w:rsidRPr="00C04C4B">
        <w:rPr>
          <w:rFonts w:ascii="Garamond" w:eastAsia="Arial,Times New Roman" w:hAnsi="Garamond" w:cs="Arial"/>
          <w:lang w:eastAsia="es-ES"/>
        </w:rPr>
        <w:t xml:space="preserve"> </w:t>
      </w:r>
      <w:r w:rsidRPr="00C04C4B">
        <w:rPr>
          <w:rFonts w:ascii="Garamond" w:hAnsi="Garamond" w:cs="Arial"/>
          <w:lang w:eastAsia="es-ES"/>
        </w:rPr>
        <w:t>de</w:t>
      </w:r>
      <w:r w:rsidRPr="00C04C4B">
        <w:rPr>
          <w:rFonts w:ascii="Garamond" w:eastAsia="Arial,Times New Roman" w:hAnsi="Garamond" w:cs="Arial"/>
          <w:lang w:eastAsia="es-ES"/>
        </w:rPr>
        <w:t xml:space="preserve"> </w:t>
      </w:r>
      <w:r w:rsidRPr="00C04C4B">
        <w:rPr>
          <w:rFonts w:ascii="Garamond" w:hAnsi="Garamond" w:cs="Arial"/>
          <w:lang w:eastAsia="es-ES"/>
        </w:rPr>
        <w:t>responsables</w:t>
      </w:r>
      <w:r w:rsidRPr="00C04C4B">
        <w:rPr>
          <w:rFonts w:ascii="Garamond" w:eastAsia="Arial,Times New Roman" w:hAnsi="Garamond" w:cs="Arial"/>
          <w:lang w:eastAsia="es-ES"/>
        </w:rPr>
        <w:t xml:space="preserve"> </w:t>
      </w:r>
      <w:r w:rsidRPr="00C04C4B">
        <w:rPr>
          <w:rFonts w:ascii="Garamond" w:hAnsi="Garamond" w:cs="Arial"/>
          <w:lang w:eastAsia="es-ES"/>
        </w:rPr>
        <w:t>fiscales</w:t>
      </w:r>
      <w:r w:rsidRPr="00C04C4B">
        <w:rPr>
          <w:rFonts w:ascii="Garamond" w:eastAsia="Arial,Times New Roman" w:hAnsi="Garamond" w:cs="Arial"/>
          <w:lang w:eastAsia="es-ES"/>
        </w:rPr>
        <w:t xml:space="preserve"> </w:t>
      </w:r>
      <w:r w:rsidRPr="00C04C4B">
        <w:rPr>
          <w:rFonts w:ascii="Garamond" w:hAnsi="Garamond" w:cs="Arial"/>
          <w:lang w:eastAsia="es-ES"/>
        </w:rPr>
        <w:t>vigentes</w:t>
      </w:r>
      <w:r w:rsidRPr="00C04C4B">
        <w:rPr>
          <w:rFonts w:ascii="Garamond" w:eastAsia="Arial,Times New Roman" w:hAnsi="Garamond" w:cs="Arial"/>
          <w:lang w:eastAsia="es-ES"/>
        </w:rPr>
        <w:t xml:space="preserve"> </w:t>
      </w:r>
      <w:r w:rsidRPr="00C04C4B">
        <w:rPr>
          <w:rFonts w:ascii="Garamond" w:hAnsi="Garamond" w:cs="Arial"/>
          <w:lang w:eastAsia="es-ES"/>
        </w:rPr>
        <w:t>publicado</w:t>
      </w:r>
      <w:r w:rsidRPr="00C04C4B">
        <w:rPr>
          <w:rFonts w:ascii="Garamond" w:eastAsia="Arial,Times New Roman" w:hAnsi="Garamond" w:cs="Arial"/>
          <w:lang w:eastAsia="es-ES"/>
        </w:rPr>
        <w:t xml:space="preserve"> </w:t>
      </w:r>
      <w:r w:rsidRPr="00C04C4B">
        <w:rPr>
          <w:rFonts w:ascii="Garamond" w:hAnsi="Garamond" w:cs="Arial"/>
          <w:lang w:eastAsia="es-ES"/>
        </w:rPr>
        <w:t>por</w:t>
      </w:r>
      <w:r w:rsidRPr="00C04C4B">
        <w:rPr>
          <w:rFonts w:ascii="Garamond" w:eastAsia="Arial,Times New Roman" w:hAnsi="Garamond" w:cs="Arial"/>
          <w:lang w:eastAsia="es-ES"/>
        </w:rPr>
        <w:t xml:space="preserve"> </w:t>
      </w:r>
      <w:r w:rsidRPr="00C04C4B">
        <w:rPr>
          <w:rFonts w:ascii="Garamond" w:hAnsi="Garamond" w:cs="Arial"/>
          <w:lang w:eastAsia="es-ES"/>
        </w:rPr>
        <w:t>la</w:t>
      </w:r>
      <w:r w:rsidRPr="00C04C4B">
        <w:rPr>
          <w:rFonts w:ascii="Garamond" w:eastAsia="Arial,Times New Roman" w:hAnsi="Garamond" w:cs="Arial"/>
          <w:lang w:eastAsia="es-ES"/>
        </w:rPr>
        <w:t xml:space="preserve"> </w:t>
      </w:r>
      <w:r w:rsidRPr="00C04C4B">
        <w:rPr>
          <w:rFonts w:ascii="Garamond" w:hAnsi="Garamond" w:cs="Arial"/>
          <w:lang w:eastAsia="es-ES"/>
        </w:rPr>
        <w:t>Contraloría</w:t>
      </w:r>
      <w:r w:rsidRPr="00C04C4B">
        <w:rPr>
          <w:rFonts w:ascii="Garamond" w:eastAsia="Arial,Times New Roman" w:hAnsi="Garamond" w:cs="Arial"/>
          <w:lang w:eastAsia="es-ES"/>
        </w:rPr>
        <w:t xml:space="preserve"> </w:t>
      </w:r>
      <w:r w:rsidRPr="00C04C4B">
        <w:rPr>
          <w:rFonts w:ascii="Garamond" w:hAnsi="Garamond" w:cs="Arial"/>
          <w:lang w:eastAsia="es-ES"/>
        </w:rPr>
        <w:t>General</w:t>
      </w:r>
      <w:r w:rsidRPr="00C04C4B">
        <w:rPr>
          <w:rFonts w:ascii="Garamond" w:eastAsia="Arial,Times New Roman" w:hAnsi="Garamond" w:cs="Arial"/>
          <w:lang w:eastAsia="es-ES"/>
        </w:rPr>
        <w:t xml:space="preserve"> </w:t>
      </w:r>
      <w:r w:rsidRPr="00C04C4B">
        <w:rPr>
          <w:rFonts w:ascii="Garamond" w:hAnsi="Garamond" w:cs="Arial"/>
          <w:lang w:eastAsia="es-ES"/>
        </w:rPr>
        <w:t>de</w:t>
      </w:r>
      <w:r w:rsidRPr="00C04C4B">
        <w:rPr>
          <w:rFonts w:ascii="Garamond" w:eastAsia="Arial,Times New Roman" w:hAnsi="Garamond" w:cs="Arial"/>
          <w:lang w:eastAsia="es-ES"/>
        </w:rPr>
        <w:t xml:space="preserve"> </w:t>
      </w:r>
      <w:r w:rsidRPr="00C04C4B">
        <w:rPr>
          <w:rFonts w:ascii="Garamond" w:hAnsi="Garamond" w:cs="Arial"/>
          <w:lang w:eastAsia="es-ES"/>
        </w:rPr>
        <w:t>la</w:t>
      </w:r>
      <w:r w:rsidRPr="00C04C4B">
        <w:rPr>
          <w:rFonts w:ascii="Garamond" w:eastAsia="Arial,Times New Roman" w:hAnsi="Garamond" w:cs="Arial"/>
          <w:lang w:eastAsia="es-ES"/>
        </w:rPr>
        <w:t xml:space="preserve"> </w:t>
      </w:r>
      <w:r w:rsidRPr="00C04C4B">
        <w:rPr>
          <w:rFonts w:ascii="Garamond" w:hAnsi="Garamond" w:cs="Arial"/>
          <w:lang w:eastAsia="es-ES"/>
        </w:rPr>
        <w:t>República. Esta disposición aplica para el Proponente e integrantes de un Proponente Plural con domicilio en Colombia. Tratándose de Proponentes Extranjeros sin domicilio o sin Sucursal en Colombia, deben declarar que no son responsables fiscales por actividades ejercidas en Colombia en el pasado y que no tienen sanciones vigentes en Colombia que impliquen inhabilidad para contratar con el Estado.</w:t>
      </w:r>
    </w:p>
    <w:p w14:paraId="43ADF13E" w14:textId="77777777" w:rsidR="00C04C4B" w:rsidRPr="00C04C4B" w:rsidRDefault="00C04C4B" w:rsidP="00A23238">
      <w:pPr>
        <w:pStyle w:val="Prrafodelista"/>
        <w:widowControl/>
        <w:numPr>
          <w:ilvl w:val="0"/>
          <w:numId w:val="34"/>
        </w:numPr>
        <w:spacing w:after="160" w:line="259" w:lineRule="auto"/>
        <w:contextualSpacing/>
        <w:rPr>
          <w:rFonts w:ascii="Garamond" w:hAnsi="Garamond" w:cs="Arial"/>
          <w:lang w:eastAsia="es-ES"/>
        </w:rPr>
      </w:pPr>
      <w:r w:rsidRPr="00C04C4B">
        <w:rPr>
          <w:rFonts w:ascii="Garamond" w:hAnsi="Garamond" w:cs="Arial"/>
          <w:lang w:eastAsia="es-ES"/>
        </w:rPr>
        <w:t xml:space="preserve">Presentar el certificado del Registro de Deudores Alimentarios Morosos – </w:t>
      </w:r>
      <w:proofErr w:type="spellStart"/>
      <w:r w:rsidRPr="00C04C4B">
        <w:rPr>
          <w:rFonts w:ascii="Garamond" w:hAnsi="Garamond" w:cs="Arial"/>
          <w:lang w:eastAsia="es-ES"/>
        </w:rPr>
        <w:t>REDAM</w:t>
      </w:r>
      <w:proofErr w:type="spellEnd"/>
      <w:r w:rsidRPr="00C04C4B">
        <w:rPr>
          <w:rFonts w:ascii="Garamond" w:hAnsi="Garamond" w:cs="Arial"/>
          <w:lang w:eastAsia="es-ES"/>
        </w:rPr>
        <w:t xml:space="preserve"> en el cual demuestre no estar inhabilitado en los términos de la Ley 2097 de 2021.</w:t>
      </w:r>
    </w:p>
    <w:p w14:paraId="2BBE37F0" w14:textId="77777777" w:rsidR="00C04C4B" w:rsidRPr="00C04C4B" w:rsidRDefault="00C04C4B" w:rsidP="00C04C4B">
      <w:pPr>
        <w:jc w:val="both"/>
        <w:rPr>
          <w:rFonts w:ascii="Garamond" w:eastAsia="Arial" w:hAnsi="Garamond" w:cs="Arial"/>
          <w:lang w:val="es-ES" w:eastAsia="en-US"/>
        </w:rPr>
      </w:pPr>
    </w:p>
    <w:p w14:paraId="3B74BFF7" w14:textId="77777777" w:rsidR="00C04C4B" w:rsidRPr="00C04C4B" w:rsidRDefault="00C04C4B" w:rsidP="00C04C4B">
      <w:pPr>
        <w:jc w:val="both"/>
        <w:rPr>
          <w:rFonts w:ascii="Garamond" w:hAnsi="Garamond"/>
          <w:lang w:val="es-MX"/>
        </w:rPr>
      </w:pPr>
      <w:r w:rsidRPr="00C04C4B">
        <w:rPr>
          <w:rFonts w:ascii="Garamond" w:hAnsi="Garamond"/>
          <w:lang w:val="es-MX"/>
        </w:rPr>
        <w:t>La Entidad debe consultar los antecedentes judiciales en línea en los registros de las bases de datos, al igual que el certificado de antecedentes disciplinarios conforme el artículo 1 de la Ley 1238 de 2008 y el Registro Nacional de Medidas Correctivas del Ministerio de Defensa Nacional – Policía Nacional, de acuerdo con lo dispuesto en el artículo 184 de la Ley 1801 de 2016 – Código Nacional de Seguridad y Convivencia Ciudadana–.</w:t>
      </w:r>
    </w:p>
    <w:p w14:paraId="08F52F0A" w14:textId="77777777" w:rsidR="00C04C4B" w:rsidRPr="00C04C4B" w:rsidRDefault="00C04C4B" w:rsidP="00C04C4B">
      <w:pPr>
        <w:jc w:val="both"/>
        <w:rPr>
          <w:rFonts w:ascii="Garamond" w:hAnsi="Garamond"/>
          <w:lang w:val="es-MX"/>
        </w:rPr>
      </w:pPr>
    </w:p>
    <w:p w14:paraId="411A50F9" w14:textId="70DFE1A9" w:rsidR="00C04C4B" w:rsidRPr="00C04C4B" w:rsidRDefault="00C04C4B" w:rsidP="00A23238">
      <w:pPr>
        <w:pStyle w:val="Capitulo1"/>
        <w:numPr>
          <w:ilvl w:val="1"/>
          <w:numId w:val="54"/>
        </w:numPr>
        <w:tabs>
          <w:tab w:val="left" w:pos="851"/>
        </w:tabs>
        <w:spacing w:line="240" w:lineRule="auto"/>
        <w:jc w:val="both"/>
        <w:rPr>
          <w:rFonts w:ascii="Garamond" w:eastAsia="Arial" w:hAnsi="Garamond"/>
          <w:color w:val="auto"/>
          <w:sz w:val="22"/>
          <w:szCs w:val="22"/>
        </w:rPr>
      </w:pPr>
      <w:bookmarkStart w:id="185" w:name="_Toc508648269"/>
      <w:bookmarkStart w:id="186" w:name="_Toc508984053"/>
      <w:bookmarkStart w:id="187" w:name="_Toc509843884"/>
      <w:bookmarkStart w:id="188" w:name="_Toc511924791"/>
      <w:bookmarkStart w:id="189" w:name="_Toc520226880"/>
      <w:bookmarkStart w:id="190" w:name="_Toc520297850"/>
      <w:bookmarkStart w:id="191" w:name="_Toc520317115"/>
      <w:bookmarkStart w:id="192" w:name="_Toc533083718"/>
      <w:bookmarkStart w:id="193" w:name="_Toc35616247"/>
      <w:bookmarkStart w:id="194" w:name="_Toc40113342"/>
      <w:bookmarkStart w:id="195" w:name="_Toc108082905"/>
      <w:bookmarkStart w:id="196" w:name="_Toc215132433"/>
      <w:r w:rsidRPr="00C04C4B">
        <w:rPr>
          <w:rFonts w:ascii="Garamond" w:eastAsia="Arial" w:hAnsi="Garamond"/>
          <w:color w:val="auto"/>
          <w:sz w:val="22"/>
          <w:szCs w:val="22"/>
        </w:rPr>
        <w:t>EXISTENCIA Y REPRESENTACIÓN LEGAL</w:t>
      </w:r>
      <w:bookmarkEnd w:id="185"/>
      <w:bookmarkEnd w:id="186"/>
      <w:bookmarkEnd w:id="187"/>
      <w:bookmarkEnd w:id="188"/>
      <w:bookmarkEnd w:id="189"/>
      <w:bookmarkEnd w:id="190"/>
      <w:bookmarkEnd w:id="191"/>
      <w:bookmarkEnd w:id="192"/>
      <w:bookmarkEnd w:id="193"/>
      <w:bookmarkEnd w:id="194"/>
      <w:bookmarkEnd w:id="195"/>
      <w:bookmarkEnd w:id="196"/>
      <w:r w:rsidRPr="00C04C4B">
        <w:rPr>
          <w:rFonts w:ascii="Garamond" w:eastAsia="Arial" w:hAnsi="Garamond"/>
          <w:color w:val="auto"/>
          <w:sz w:val="22"/>
          <w:szCs w:val="22"/>
        </w:rPr>
        <w:t xml:space="preserve"> </w:t>
      </w:r>
    </w:p>
    <w:p w14:paraId="29A13F18" w14:textId="77777777" w:rsidR="00C04C4B" w:rsidRPr="00C04C4B" w:rsidRDefault="00C04C4B" w:rsidP="00C04C4B">
      <w:pPr>
        <w:autoSpaceDE w:val="0"/>
        <w:autoSpaceDN w:val="0"/>
        <w:adjustRightInd w:val="0"/>
        <w:spacing w:before="120" w:after="240"/>
        <w:jc w:val="both"/>
        <w:rPr>
          <w:rFonts w:ascii="Garamond" w:eastAsia="Arial" w:hAnsi="Garamond"/>
        </w:rPr>
      </w:pPr>
      <w:r w:rsidRPr="00C04C4B">
        <w:rPr>
          <w:rFonts w:ascii="Garamond" w:hAnsi="Garamond" w:cs="Arial"/>
        </w:rPr>
        <w:t>La existencia y representación legal de los</w:t>
      </w:r>
      <w:r w:rsidRPr="00C04C4B">
        <w:rPr>
          <w:rFonts w:ascii="Garamond" w:eastAsia="Arial,Times New Roman" w:hAnsi="Garamond" w:cs="Arial"/>
          <w:lang w:eastAsia="es-ES"/>
        </w:rPr>
        <w:t xml:space="preserve"> </w:t>
      </w:r>
      <w:r w:rsidRPr="00C04C4B">
        <w:rPr>
          <w:rFonts w:ascii="Garamond" w:hAnsi="Garamond" w:cs="Arial"/>
          <w:lang w:eastAsia="es-ES"/>
        </w:rPr>
        <w:t>Proponentes</w:t>
      </w:r>
      <w:r w:rsidRPr="00C04C4B">
        <w:rPr>
          <w:rFonts w:ascii="Garamond" w:eastAsia="Arial,Times New Roman" w:hAnsi="Garamond" w:cs="Arial"/>
          <w:lang w:eastAsia="es-ES"/>
        </w:rPr>
        <w:t xml:space="preserve"> </w:t>
      </w:r>
      <w:r w:rsidRPr="00C04C4B">
        <w:rPr>
          <w:rFonts w:ascii="Garamond" w:hAnsi="Garamond" w:cs="Arial"/>
          <w:lang w:eastAsia="es-ES"/>
        </w:rPr>
        <w:t>individuales</w:t>
      </w:r>
      <w:r w:rsidRPr="00C04C4B">
        <w:rPr>
          <w:rFonts w:ascii="Garamond" w:eastAsia="Arial,Times New Roman" w:hAnsi="Garamond" w:cs="Arial"/>
          <w:lang w:eastAsia="es-ES"/>
        </w:rPr>
        <w:t xml:space="preserve"> </w:t>
      </w:r>
      <w:r w:rsidRPr="00C04C4B">
        <w:rPr>
          <w:rFonts w:ascii="Garamond" w:hAnsi="Garamond" w:cs="Arial"/>
          <w:lang w:eastAsia="es-ES"/>
        </w:rPr>
        <w:t>o</w:t>
      </w:r>
      <w:r w:rsidRPr="00C04C4B">
        <w:rPr>
          <w:rFonts w:ascii="Garamond" w:eastAsia="Arial,Times New Roman" w:hAnsi="Garamond" w:cs="Arial"/>
          <w:lang w:eastAsia="es-ES"/>
        </w:rPr>
        <w:t xml:space="preserve"> miembros </w:t>
      </w:r>
      <w:r w:rsidRPr="00C04C4B">
        <w:rPr>
          <w:rFonts w:ascii="Garamond" w:hAnsi="Garamond" w:cs="Arial"/>
          <w:lang w:eastAsia="es-ES"/>
        </w:rPr>
        <w:t>de</w:t>
      </w:r>
      <w:r w:rsidRPr="00C04C4B">
        <w:rPr>
          <w:rFonts w:ascii="Garamond" w:eastAsia="Arial,Times New Roman" w:hAnsi="Garamond" w:cs="Arial"/>
          <w:lang w:eastAsia="es-ES"/>
        </w:rPr>
        <w:t xml:space="preserve"> </w:t>
      </w:r>
      <w:r w:rsidRPr="00C04C4B">
        <w:rPr>
          <w:rFonts w:ascii="Garamond" w:hAnsi="Garamond" w:cs="Arial"/>
          <w:lang w:eastAsia="es-ES"/>
        </w:rPr>
        <w:t>los</w:t>
      </w:r>
      <w:r w:rsidRPr="00C04C4B">
        <w:rPr>
          <w:rFonts w:ascii="Garamond" w:eastAsia="Arial,Times New Roman" w:hAnsi="Garamond" w:cs="Arial"/>
          <w:lang w:eastAsia="es-ES"/>
        </w:rPr>
        <w:t xml:space="preserve"> </w:t>
      </w:r>
      <w:r w:rsidRPr="00C04C4B">
        <w:rPr>
          <w:rFonts w:ascii="Garamond" w:hAnsi="Garamond" w:cs="Arial"/>
          <w:lang w:eastAsia="es-ES"/>
        </w:rPr>
        <w:t>Proponentes</w:t>
      </w:r>
      <w:r w:rsidRPr="00C04C4B">
        <w:rPr>
          <w:rFonts w:ascii="Garamond" w:eastAsia="Arial,Times New Roman" w:hAnsi="Garamond" w:cs="Arial"/>
          <w:lang w:eastAsia="es-ES"/>
        </w:rPr>
        <w:t xml:space="preserve"> </w:t>
      </w:r>
      <w:r w:rsidRPr="00C04C4B">
        <w:rPr>
          <w:rFonts w:ascii="Garamond" w:hAnsi="Garamond" w:cs="Arial"/>
          <w:lang w:eastAsia="es-ES"/>
        </w:rPr>
        <w:t>Plurales</w:t>
      </w:r>
      <w:r w:rsidRPr="00C04C4B">
        <w:rPr>
          <w:rFonts w:ascii="Garamond" w:eastAsia="Arial,Times New Roman" w:hAnsi="Garamond" w:cs="Arial"/>
          <w:lang w:eastAsia="es-ES"/>
        </w:rPr>
        <w:t xml:space="preserve"> </w:t>
      </w:r>
      <w:r w:rsidRPr="00C04C4B">
        <w:rPr>
          <w:rFonts w:ascii="Garamond" w:hAnsi="Garamond" w:cs="Arial"/>
        </w:rPr>
        <w:t>se acreditará de acuerdo con las siguientes reglas:</w:t>
      </w:r>
      <w:bookmarkStart w:id="197" w:name="_Toc45547590"/>
      <w:bookmarkStart w:id="198" w:name="_Toc45870458"/>
      <w:bookmarkStart w:id="199" w:name="_Toc48204145"/>
      <w:bookmarkStart w:id="200" w:name="_Toc52776725"/>
      <w:bookmarkStart w:id="201" w:name="_Toc52777853"/>
      <w:bookmarkStart w:id="202" w:name="_Toc57994244"/>
      <w:bookmarkStart w:id="203" w:name="_Toc45547591"/>
      <w:bookmarkStart w:id="204" w:name="_Toc45870459"/>
      <w:bookmarkStart w:id="205" w:name="_Toc48204146"/>
      <w:bookmarkStart w:id="206" w:name="_Toc52776726"/>
      <w:bookmarkStart w:id="207" w:name="_Toc52777854"/>
      <w:bookmarkStart w:id="208" w:name="_Toc57994245"/>
      <w:bookmarkStart w:id="209" w:name="_Toc45547592"/>
      <w:bookmarkStart w:id="210" w:name="_Toc45870460"/>
      <w:bookmarkStart w:id="211" w:name="_Toc48204147"/>
      <w:bookmarkStart w:id="212" w:name="_Toc52776727"/>
      <w:bookmarkStart w:id="213" w:name="_Toc52777855"/>
      <w:bookmarkStart w:id="214" w:name="_Toc57994246"/>
      <w:bookmarkStart w:id="215" w:name="_Toc45547593"/>
      <w:bookmarkStart w:id="216" w:name="_Toc45870461"/>
      <w:bookmarkStart w:id="217" w:name="_Toc48204148"/>
      <w:bookmarkStart w:id="218" w:name="_Toc52776728"/>
      <w:bookmarkStart w:id="219" w:name="_Toc52777856"/>
      <w:bookmarkStart w:id="220" w:name="_Toc57994247"/>
      <w:bookmarkStart w:id="221" w:name="_Toc35616248"/>
      <w:bookmarkStart w:id="222" w:name="_Toc40113343"/>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29FE3F02" w14:textId="77777777" w:rsidR="00C04C4B" w:rsidRPr="00C04C4B" w:rsidRDefault="00C04C4B" w:rsidP="00A23238">
      <w:pPr>
        <w:pStyle w:val="Capitulo1"/>
        <w:numPr>
          <w:ilvl w:val="2"/>
          <w:numId w:val="54"/>
        </w:numPr>
        <w:tabs>
          <w:tab w:val="left" w:pos="851"/>
        </w:tabs>
        <w:spacing w:line="240" w:lineRule="auto"/>
        <w:jc w:val="both"/>
        <w:rPr>
          <w:rFonts w:ascii="Garamond" w:eastAsia="Arial" w:hAnsi="Garamond"/>
          <w:color w:val="auto"/>
          <w:sz w:val="22"/>
          <w:szCs w:val="22"/>
        </w:rPr>
      </w:pPr>
      <w:bookmarkStart w:id="223" w:name="_Toc108082906"/>
      <w:bookmarkStart w:id="224" w:name="_Toc215132434"/>
      <w:r w:rsidRPr="00C04C4B">
        <w:rPr>
          <w:rFonts w:ascii="Garamond" w:eastAsia="Arial" w:hAnsi="Garamond"/>
          <w:color w:val="auto"/>
          <w:sz w:val="22"/>
          <w:szCs w:val="22"/>
        </w:rPr>
        <w:t>PERSONAS NATURALES</w:t>
      </w:r>
      <w:bookmarkEnd w:id="221"/>
      <w:bookmarkEnd w:id="222"/>
      <w:bookmarkEnd w:id="223"/>
      <w:bookmarkEnd w:id="224"/>
    </w:p>
    <w:p w14:paraId="19C3E78D" w14:textId="77777777" w:rsidR="00C04C4B" w:rsidRPr="00C04C4B" w:rsidRDefault="00C04C4B" w:rsidP="00C04C4B">
      <w:pPr>
        <w:pStyle w:val="InviasNormal"/>
        <w:jc w:val="both"/>
        <w:rPr>
          <w:rFonts w:ascii="Garamond" w:eastAsia="Arial" w:hAnsi="Garamond" w:cs="Arial"/>
          <w:sz w:val="22"/>
          <w:szCs w:val="22"/>
          <w:lang w:val="es-CO"/>
        </w:rPr>
      </w:pPr>
      <w:r w:rsidRPr="00C04C4B">
        <w:rPr>
          <w:rFonts w:ascii="Garamond" w:eastAsia="Arial" w:hAnsi="Garamond" w:cs="Arial"/>
          <w:sz w:val="22"/>
          <w:szCs w:val="22"/>
          <w:lang w:val="es-CO"/>
        </w:rPr>
        <w:t xml:space="preserve">Deben presentar los siguientes documentos en copia simple: </w:t>
      </w:r>
    </w:p>
    <w:p w14:paraId="0B96CC11" w14:textId="77777777" w:rsidR="00C04C4B" w:rsidRPr="00C04C4B" w:rsidRDefault="00C04C4B" w:rsidP="00A23238">
      <w:pPr>
        <w:widowControl/>
        <w:numPr>
          <w:ilvl w:val="0"/>
          <w:numId w:val="30"/>
        </w:numPr>
        <w:contextualSpacing/>
        <w:jc w:val="both"/>
        <w:rPr>
          <w:rFonts w:ascii="Garamond" w:hAnsi="Garamond" w:cs="Arial"/>
        </w:rPr>
      </w:pPr>
      <w:r w:rsidRPr="00C04C4B">
        <w:rPr>
          <w:rFonts w:ascii="Garamond" w:hAnsi="Garamond" w:cs="Arial"/>
        </w:rPr>
        <w:t>Persona natural de nacionalidad colombiana: cédula de ciudadanía.</w:t>
      </w:r>
    </w:p>
    <w:p w14:paraId="331F525D" w14:textId="77777777" w:rsidR="00C04C4B" w:rsidRPr="00C04C4B" w:rsidRDefault="00C04C4B" w:rsidP="00C04C4B">
      <w:pPr>
        <w:ind w:left="720"/>
        <w:contextualSpacing/>
        <w:jc w:val="both"/>
        <w:rPr>
          <w:rFonts w:ascii="Garamond" w:hAnsi="Garamond" w:cs="Arial"/>
        </w:rPr>
      </w:pPr>
    </w:p>
    <w:p w14:paraId="53A77760" w14:textId="77777777" w:rsidR="00C04C4B" w:rsidRPr="00C04C4B" w:rsidRDefault="00C04C4B" w:rsidP="00A23238">
      <w:pPr>
        <w:widowControl/>
        <w:numPr>
          <w:ilvl w:val="0"/>
          <w:numId w:val="30"/>
        </w:numPr>
        <w:contextualSpacing/>
        <w:jc w:val="both"/>
        <w:rPr>
          <w:rFonts w:ascii="Garamond" w:hAnsi="Garamond" w:cs="Arial"/>
        </w:rPr>
      </w:pPr>
      <w:r w:rsidRPr="00C04C4B">
        <w:rPr>
          <w:rFonts w:ascii="Garamond" w:hAnsi="Garamond" w:cs="Arial"/>
        </w:rPr>
        <w:t xml:space="preserve">Persona natural extranjera con residencia en Colombia: cédula de extranjería vigente expedida por la autoridad competente. </w:t>
      </w:r>
    </w:p>
    <w:p w14:paraId="5A9B838D" w14:textId="77777777" w:rsidR="00C04C4B" w:rsidRPr="00C04C4B" w:rsidRDefault="00C04C4B" w:rsidP="00C04C4B">
      <w:pPr>
        <w:ind w:left="709"/>
        <w:contextualSpacing/>
        <w:jc w:val="both"/>
        <w:rPr>
          <w:rFonts w:ascii="Garamond" w:hAnsi="Garamond" w:cs="Arial"/>
        </w:rPr>
      </w:pPr>
    </w:p>
    <w:p w14:paraId="1B12A4B9" w14:textId="77777777" w:rsidR="00C04C4B" w:rsidRPr="00C04C4B" w:rsidRDefault="00C04C4B" w:rsidP="00A23238">
      <w:pPr>
        <w:widowControl/>
        <w:numPr>
          <w:ilvl w:val="0"/>
          <w:numId w:val="30"/>
        </w:numPr>
        <w:contextualSpacing/>
        <w:jc w:val="both"/>
        <w:rPr>
          <w:rFonts w:ascii="Garamond" w:hAnsi="Garamond" w:cs="Arial"/>
          <w:lang w:val="es-ES"/>
        </w:rPr>
      </w:pPr>
      <w:r w:rsidRPr="00C04C4B">
        <w:rPr>
          <w:rFonts w:ascii="Garamond" w:hAnsi="Garamond" w:cs="Arial"/>
        </w:rPr>
        <w:t>Persona natural extranjera sin domicilio en Colombia: pasaporte.</w:t>
      </w:r>
    </w:p>
    <w:p w14:paraId="35460148" w14:textId="77777777" w:rsidR="00C04C4B" w:rsidRPr="00C04C4B" w:rsidRDefault="00C04C4B" w:rsidP="00C04C4B">
      <w:pPr>
        <w:ind w:left="720"/>
        <w:contextualSpacing/>
        <w:jc w:val="both"/>
        <w:rPr>
          <w:rFonts w:ascii="Garamond" w:hAnsi="Garamond"/>
          <w:lang w:val="es-ES"/>
        </w:rPr>
      </w:pPr>
    </w:p>
    <w:p w14:paraId="59AC0A36" w14:textId="77777777" w:rsidR="00C04C4B" w:rsidRPr="00C04C4B" w:rsidRDefault="00C04C4B" w:rsidP="00A23238">
      <w:pPr>
        <w:pStyle w:val="Capitulo1"/>
        <w:numPr>
          <w:ilvl w:val="2"/>
          <w:numId w:val="54"/>
        </w:numPr>
        <w:tabs>
          <w:tab w:val="left" w:pos="851"/>
        </w:tabs>
        <w:spacing w:line="240" w:lineRule="auto"/>
        <w:jc w:val="both"/>
        <w:rPr>
          <w:rFonts w:ascii="Garamond" w:eastAsia="Arial" w:hAnsi="Garamond"/>
          <w:color w:val="auto"/>
          <w:sz w:val="22"/>
          <w:szCs w:val="22"/>
        </w:rPr>
      </w:pPr>
      <w:bookmarkStart w:id="225" w:name="_Toc35616249"/>
      <w:bookmarkStart w:id="226" w:name="_Toc35616576"/>
      <w:bookmarkStart w:id="227" w:name="_Toc35616250"/>
      <w:bookmarkStart w:id="228" w:name="_Toc40113344"/>
      <w:bookmarkStart w:id="229" w:name="_Toc108082907"/>
      <w:bookmarkStart w:id="230" w:name="_Toc215132435"/>
      <w:bookmarkEnd w:id="225"/>
      <w:bookmarkEnd w:id="226"/>
      <w:r w:rsidRPr="00C04C4B">
        <w:rPr>
          <w:rFonts w:ascii="Garamond" w:eastAsia="Arial" w:hAnsi="Garamond"/>
          <w:color w:val="auto"/>
          <w:sz w:val="22"/>
          <w:szCs w:val="22"/>
        </w:rPr>
        <w:t>PERSONAS JURÍDICAS</w:t>
      </w:r>
      <w:bookmarkEnd w:id="227"/>
      <w:bookmarkEnd w:id="228"/>
      <w:bookmarkEnd w:id="229"/>
      <w:bookmarkEnd w:id="230"/>
    </w:p>
    <w:p w14:paraId="38109867" w14:textId="77777777" w:rsidR="00C04C4B" w:rsidRPr="00C04C4B" w:rsidRDefault="00C04C4B" w:rsidP="00C04C4B">
      <w:pPr>
        <w:pStyle w:val="InviasNormal"/>
        <w:jc w:val="both"/>
        <w:rPr>
          <w:rFonts w:ascii="Garamond" w:eastAsia="Arial" w:hAnsi="Garamond" w:cs="Arial"/>
          <w:sz w:val="22"/>
          <w:szCs w:val="22"/>
          <w:lang w:val="es-CO"/>
        </w:rPr>
      </w:pPr>
      <w:r w:rsidRPr="00C04C4B">
        <w:rPr>
          <w:rFonts w:ascii="Garamond" w:eastAsia="Arial" w:hAnsi="Garamond" w:cs="Arial"/>
          <w:sz w:val="22"/>
          <w:szCs w:val="22"/>
          <w:lang w:val="es-CO"/>
        </w:rPr>
        <w:t xml:space="preserve">Deben presentar los siguientes documentos: </w:t>
      </w:r>
    </w:p>
    <w:p w14:paraId="6FB378A3" w14:textId="77777777" w:rsidR="00C04C4B" w:rsidRPr="00C04C4B" w:rsidRDefault="00C04C4B" w:rsidP="00A23238">
      <w:pPr>
        <w:widowControl/>
        <w:numPr>
          <w:ilvl w:val="0"/>
          <w:numId w:val="35"/>
        </w:numPr>
        <w:contextualSpacing/>
        <w:jc w:val="both"/>
        <w:rPr>
          <w:rFonts w:ascii="Garamond" w:hAnsi="Garamond" w:cs="Arial"/>
        </w:rPr>
      </w:pPr>
      <w:r w:rsidRPr="00C04C4B">
        <w:rPr>
          <w:rFonts w:ascii="Garamond" w:hAnsi="Garamond" w:cs="Arial"/>
        </w:rPr>
        <w:t>Persona jurídica nacional o extranjera con Sucursal en Colombia:</w:t>
      </w:r>
      <w:r w:rsidRPr="00C04C4B">
        <w:rPr>
          <w:rFonts w:ascii="Garamond" w:hAnsi="Garamond" w:cs="Arial"/>
          <w:lang w:eastAsia="es-ES"/>
        </w:rPr>
        <w:t xml:space="preserve"> </w:t>
      </w:r>
    </w:p>
    <w:p w14:paraId="53280185" w14:textId="77777777" w:rsidR="00C04C4B" w:rsidRPr="00C04C4B" w:rsidRDefault="00C04C4B" w:rsidP="00C04C4B">
      <w:pPr>
        <w:ind w:left="720"/>
        <w:contextualSpacing/>
        <w:jc w:val="both"/>
        <w:rPr>
          <w:rFonts w:ascii="Garamond" w:hAnsi="Garamond" w:cs="Arial"/>
        </w:rPr>
      </w:pPr>
    </w:p>
    <w:p w14:paraId="40CF3258" w14:textId="77777777" w:rsidR="00C04C4B" w:rsidRPr="00C04C4B" w:rsidRDefault="00C04C4B" w:rsidP="00A23238">
      <w:pPr>
        <w:pStyle w:val="Prrafodelista"/>
        <w:widowControl/>
        <w:numPr>
          <w:ilvl w:val="0"/>
          <w:numId w:val="31"/>
        </w:numPr>
        <w:spacing w:after="200"/>
        <w:contextualSpacing/>
        <w:rPr>
          <w:rFonts w:ascii="Garamond" w:hAnsi="Garamond" w:cs="Arial"/>
        </w:rPr>
      </w:pPr>
      <w:r w:rsidRPr="00C04C4B">
        <w:rPr>
          <w:rFonts w:ascii="Garamond" w:eastAsiaTheme="minorHAnsi" w:hAnsi="Garamond" w:cs="Arial"/>
        </w:rPr>
        <w:t>Certificado de existencia y representación legal expedido por la cámara de comercio o autoridad competente en el que se verificará:</w:t>
      </w:r>
    </w:p>
    <w:p w14:paraId="67CB2A71" w14:textId="77777777" w:rsidR="00C04C4B" w:rsidRPr="00C04C4B" w:rsidRDefault="00C04C4B" w:rsidP="00A23238">
      <w:pPr>
        <w:pStyle w:val="InviasNormal"/>
        <w:numPr>
          <w:ilvl w:val="1"/>
          <w:numId w:val="31"/>
        </w:numPr>
        <w:autoSpaceDE w:val="0"/>
        <w:autoSpaceDN w:val="0"/>
        <w:jc w:val="both"/>
        <w:rPr>
          <w:rFonts w:ascii="Garamond" w:eastAsia="Arial" w:hAnsi="Garamond" w:cs="Arial"/>
          <w:sz w:val="22"/>
          <w:szCs w:val="22"/>
        </w:rPr>
      </w:pPr>
      <w:r w:rsidRPr="00C04C4B">
        <w:rPr>
          <w:rFonts w:ascii="Garamond" w:eastAsia="Arial" w:hAnsi="Garamond" w:cs="Arial"/>
          <w:sz w:val="22"/>
          <w:szCs w:val="22"/>
        </w:rPr>
        <w:t xml:space="preserve">Fecha de expedición del certificado no mayor a treinta (30) días calendario anteriores a la fecha de cierre del </w:t>
      </w:r>
      <w:r w:rsidRPr="00C04C4B">
        <w:rPr>
          <w:rFonts w:ascii="Garamond" w:eastAsia="Arial" w:hAnsi="Garamond" w:cs="Arial"/>
          <w:sz w:val="22"/>
          <w:szCs w:val="22"/>
          <w:lang w:val="es-CO"/>
        </w:rPr>
        <w:t>P</w:t>
      </w:r>
      <w:proofErr w:type="spellStart"/>
      <w:r w:rsidRPr="00C04C4B">
        <w:rPr>
          <w:rFonts w:ascii="Garamond" w:eastAsia="Arial" w:hAnsi="Garamond" w:cs="Arial"/>
          <w:sz w:val="22"/>
          <w:szCs w:val="22"/>
        </w:rPr>
        <w:t>roceso</w:t>
      </w:r>
      <w:proofErr w:type="spellEnd"/>
      <w:r w:rsidRPr="00C04C4B">
        <w:rPr>
          <w:rFonts w:ascii="Garamond" w:eastAsia="Arial" w:hAnsi="Garamond" w:cs="Arial"/>
          <w:sz w:val="22"/>
          <w:szCs w:val="22"/>
          <w:lang w:val="es-CO"/>
        </w:rPr>
        <w:t xml:space="preserve"> de Contratación</w:t>
      </w:r>
      <w:r w:rsidRPr="00C04C4B">
        <w:rPr>
          <w:rFonts w:ascii="Garamond" w:eastAsia="Arial" w:hAnsi="Garamond" w:cs="Arial"/>
          <w:sz w:val="22"/>
          <w:szCs w:val="22"/>
        </w:rPr>
        <w:t>. En caso de modificarse la fecha de cierre del Proceso de Contratación</w:t>
      </w:r>
      <w:r w:rsidRPr="00C04C4B">
        <w:rPr>
          <w:rFonts w:ascii="Garamond" w:eastAsia="Arial" w:hAnsi="Garamond" w:cs="Arial"/>
          <w:sz w:val="22"/>
          <w:szCs w:val="22"/>
          <w:lang w:val="es-CO"/>
        </w:rPr>
        <w:t>,</w:t>
      </w:r>
      <w:r w:rsidRPr="00C04C4B">
        <w:rPr>
          <w:rFonts w:ascii="Garamond" w:eastAsia="Arial" w:hAnsi="Garamond" w:cs="Arial"/>
          <w:sz w:val="22"/>
          <w:szCs w:val="22"/>
        </w:rPr>
        <w:t xml:space="preserve"> se tendrá como referencia para establecer el plazo de vigencia del certificado de existencia y representación legal</w:t>
      </w:r>
      <w:r w:rsidRPr="00C04C4B">
        <w:rPr>
          <w:rFonts w:ascii="Garamond" w:eastAsia="Arial" w:hAnsi="Garamond" w:cs="Arial"/>
          <w:sz w:val="22"/>
          <w:szCs w:val="22"/>
          <w:lang w:val="es-CO"/>
        </w:rPr>
        <w:t xml:space="preserve"> la fecha </w:t>
      </w:r>
      <w:r w:rsidRPr="00C04C4B">
        <w:rPr>
          <w:rFonts w:ascii="Garamond" w:eastAsia="Arial" w:hAnsi="Garamond" w:cs="Arial"/>
          <w:sz w:val="22"/>
          <w:szCs w:val="22"/>
        </w:rPr>
        <w:t xml:space="preserve">originalmente </w:t>
      </w:r>
      <w:r w:rsidRPr="00C04C4B">
        <w:rPr>
          <w:rFonts w:ascii="Garamond" w:eastAsia="Arial" w:hAnsi="Garamond" w:cs="Arial"/>
          <w:sz w:val="22"/>
          <w:szCs w:val="22"/>
          <w:lang w:val="es-MX"/>
        </w:rPr>
        <w:t xml:space="preserve"> establecida </w:t>
      </w:r>
      <w:r w:rsidRPr="00C04C4B">
        <w:rPr>
          <w:rFonts w:ascii="Garamond" w:eastAsia="Arial" w:hAnsi="Garamond" w:cs="Arial"/>
          <w:sz w:val="22"/>
          <w:szCs w:val="22"/>
        </w:rPr>
        <w:t xml:space="preserve">en el </w:t>
      </w:r>
      <w:r w:rsidRPr="00C04C4B">
        <w:rPr>
          <w:rFonts w:ascii="Garamond" w:eastAsia="Arial" w:hAnsi="Garamond" w:cs="Arial"/>
          <w:sz w:val="22"/>
          <w:szCs w:val="22"/>
          <w:lang w:val="es-CO"/>
        </w:rPr>
        <w:t>P</w:t>
      </w:r>
      <w:r w:rsidRPr="00C04C4B">
        <w:rPr>
          <w:rFonts w:ascii="Garamond" w:eastAsia="Arial" w:hAnsi="Garamond" w:cs="Arial"/>
          <w:sz w:val="22"/>
          <w:szCs w:val="22"/>
        </w:rPr>
        <w:t xml:space="preserve">liego de </w:t>
      </w:r>
      <w:r w:rsidRPr="00C04C4B">
        <w:rPr>
          <w:rFonts w:ascii="Garamond" w:eastAsia="Arial" w:hAnsi="Garamond" w:cs="Arial"/>
          <w:sz w:val="22"/>
          <w:szCs w:val="22"/>
          <w:lang w:val="es-CO"/>
        </w:rPr>
        <w:t>C</w:t>
      </w:r>
      <w:proofErr w:type="spellStart"/>
      <w:r w:rsidRPr="00C04C4B">
        <w:rPr>
          <w:rFonts w:ascii="Garamond" w:eastAsia="Arial" w:hAnsi="Garamond" w:cs="Arial"/>
          <w:sz w:val="22"/>
          <w:szCs w:val="22"/>
        </w:rPr>
        <w:t>ondiciones</w:t>
      </w:r>
      <w:proofErr w:type="spellEnd"/>
      <w:r w:rsidRPr="00C04C4B">
        <w:rPr>
          <w:rFonts w:ascii="Garamond" w:eastAsia="Arial" w:hAnsi="Garamond" w:cs="Arial"/>
          <w:sz w:val="22"/>
          <w:szCs w:val="22"/>
          <w:lang w:val="es-MX"/>
        </w:rPr>
        <w:t xml:space="preserve"> definitivo</w:t>
      </w:r>
      <w:r w:rsidRPr="00C04C4B">
        <w:rPr>
          <w:rFonts w:ascii="Garamond" w:eastAsia="Arial" w:hAnsi="Garamond" w:cs="Arial"/>
          <w:sz w:val="22"/>
          <w:szCs w:val="22"/>
        </w:rPr>
        <w:t>.</w:t>
      </w:r>
    </w:p>
    <w:p w14:paraId="78280E09" w14:textId="77777777" w:rsidR="00C04C4B" w:rsidRPr="00C04C4B" w:rsidRDefault="00C04C4B" w:rsidP="00A23238">
      <w:pPr>
        <w:pStyle w:val="InviasNormal"/>
        <w:numPr>
          <w:ilvl w:val="1"/>
          <w:numId w:val="31"/>
        </w:numPr>
        <w:autoSpaceDE w:val="0"/>
        <w:autoSpaceDN w:val="0"/>
        <w:jc w:val="both"/>
        <w:rPr>
          <w:rFonts w:ascii="Garamond" w:eastAsia="Arial" w:hAnsi="Garamond" w:cs="Arial"/>
          <w:sz w:val="22"/>
          <w:szCs w:val="22"/>
        </w:rPr>
      </w:pPr>
      <w:r w:rsidRPr="00C04C4B">
        <w:rPr>
          <w:rFonts w:ascii="Garamond" w:eastAsia="Arial" w:hAnsi="Garamond" w:cs="Arial"/>
          <w:sz w:val="22"/>
          <w:szCs w:val="22"/>
        </w:rPr>
        <w:t xml:space="preserve">Que el objeto de la sociedad </w:t>
      </w:r>
      <w:r w:rsidRPr="00C04C4B">
        <w:rPr>
          <w:rFonts w:ascii="Garamond" w:eastAsia="Arial" w:hAnsi="Garamond" w:cs="Arial"/>
          <w:sz w:val="22"/>
          <w:szCs w:val="22"/>
          <w:lang w:val="es-CO"/>
        </w:rPr>
        <w:t xml:space="preserve">permita ejecutar las actividades descritas en el objeto del presente Proceso de Contratación. </w:t>
      </w:r>
    </w:p>
    <w:p w14:paraId="33AF5912" w14:textId="77777777" w:rsidR="00C04C4B" w:rsidRPr="00C04C4B" w:rsidRDefault="00C04C4B" w:rsidP="00A23238">
      <w:pPr>
        <w:pStyle w:val="InviasNormal"/>
        <w:numPr>
          <w:ilvl w:val="1"/>
          <w:numId w:val="31"/>
        </w:numPr>
        <w:autoSpaceDE w:val="0"/>
        <w:autoSpaceDN w:val="0"/>
        <w:jc w:val="both"/>
        <w:rPr>
          <w:rFonts w:ascii="Garamond" w:eastAsia="Arial" w:hAnsi="Garamond" w:cs="Arial"/>
          <w:sz w:val="22"/>
          <w:szCs w:val="22"/>
          <w:lang w:val="es-CO"/>
        </w:rPr>
      </w:pPr>
      <w:r w:rsidRPr="00C04C4B">
        <w:rPr>
          <w:rFonts w:ascii="Garamond" w:eastAsia="Arial" w:hAnsi="Garamond" w:cs="Arial"/>
          <w:sz w:val="22"/>
          <w:szCs w:val="22"/>
          <w:lang w:val="es-CO"/>
        </w:rPr>
        <w:t xml:space="preserve">Las personas jurídicas nacionales y extranjeras deberán acreditar que su duración no será inferior a la del plazo del contrato y un año más. </w:t>
      </w:r>
    </w:p>
    <w:p w14:paraId="68F8CD4C" w14:textId="77777777" w:rsidR="00C04C4B" w:rsidRPr="00C04C4B" w:rsidRDefault="00C04C4B" w:rsidP="00A23238">
      <w:pPr>
        <w:pStyle w:val="InviasNormal"/>
        <w:numPr>
          <w:ilvl w:val="1"/>
          <w:numId w:val="31"/>
        </w:numPr>
        <w:autoSpaceDE w:val="0"/>
        <w:autoSpaceDN w:val="0"/>
        <w:jc w:val="both"/>
        <w:rPr>
          <w:rFonts w:ascii="Garamond" w:eastAsia="Arial" w:hAnsi="Garamond" w:cs="Arial"/>
          <w:sz w:val="22"/>
          <w:szCs w:val="22"/>
        </w:rPr>
      </w:pPr>
      <w:r w:rsidRPr="00C04C4B">
        <w:rPr>
          <w:rFonts w:ascii="Garamond" w:eastAsia="Arial" w:hAnsi="Garamond" w:cs="Arial"/>
          <w:sz w:val="22"/>
          <w:szCs w:val="22"/>
        </w:rPr>
        <w:t xml:space="preserve">Si el representante </w:t>
      </w:r>
      <w:r w:rsidRPr="00C04C4B">
        <w:rPr>
          <w:rFonts w:ascii="Garamond" w:eastAsia="Arial" w:hAnsi="Garamond" w:cs="Arial"/>
          <w:sz w:val="22"/>
          <w:szCs w:val="22"/>
          <w:lang w:val="es-ES"/>
        </w:rPr>
        <w:t>legal de la sociedad</w:t>
      </w:r>
      <w:r w:rsidRPr="00C04C4B">
        <w:rPr>
          <w:rFonts w:ascii="Garamond" w:eastAsia="Arial" w:hAnsi="Garamond" w:cs="Arial"/>
          <w:sz w:val="22"/>
          <w:szCs w:val="22"/>
        </w:rPr>
        <w:t xml:space="preserve"> tiene restricciones para contraer obligaciones en nombre de esta</w:t>
      </w:r>
      <w:r w:rsidRPr="00C04C4B">
        <w:rPr>
          <w:rFonts w:ascii="Garamond" w:eastAsia="Arial" w:hAnsi="Garamond" w:cs="Arial"/>
          <w:sz w:val="22"/>
          <w:szCs w:val="22"/>
          <w:lang w:val="es-CO"/>
        </w:rPr>
        <w:t>,</w:t>
      </w:r>
      <w:r w:rsidRPr="00C04C4B">
        <w:rPr>
          <w:rFonts w:ascii="Garamond" w:eastAsia="Arial" w:hAnsi="Garamond" w:cs="Arial"/>
          <w:sz w:val="22"/>
          <w:szCs w:val="22"/>
        </w:rPr>
        <w:t xml:space="preserve"> deberá acreditar </w:t>
      </w:r>
      <w:r w:rsidRPr="00C04C4B">
        <w:rPr>
          <w:rFonts w:ascii="Garamond" w:eastAsia="Arial" w:hAnsi="Garamond" w:cs="Arial"/>
          <w:sz w:val="22"/>
          <w:szCs w:val="22"/>
          <w:lang w:val="es-ES"/>
        </w:rPr>
        <w:t xml:space="preserve">su capacidad a través de una </w:t>
      </w:r>
      <w:r w:rsidRPr="00C04C4B">
        <w:rPr>
          <w:rFonts w:ascii="Garamond" w:eastAsia="Arial" w:hAnsi="Garamond" w:cs="Arial"/>
          <w:sz w:val="22"/>
          <w:szCs w:val="22"/>
        </w:rPr>
        <w:t xml:space="preserve">autorización suficiente </w:t>
      </w:r>
      <w:r w:rsidRPr="00C04C4B">
        <w:rPr>
          <w:rFonts w:ascii="Garamond" w:eastAsia="Arial" w:hAnsi="Garamond" w:cs="Arial"/>
          <w:sz w:val="22"/>
          <w:szCs w:val="22"/>
          <w:lang w:val="es-ES"/>
        </w:rPr>
        <w:t>otorgada por parte del</w:t>
      </w:r>
      <w:r w:rsidRPr="00C04C4B">
        <w:rPr>
          <w:rFonts w:ascii="Garamond" w:eastAsia="Arial" w:hAnsi="Garamond" w:cs="Arial"/>
          <w:sz w:val="22"/>
          <w:szCs w:val="22"/>
        </w:rPr>
        <w:t xml:space="preserve"> órgano social competente</w:t>
      </w:r>
      <w:r w:rsidRPr="00C04C4B">
        <w:rPr>
          <w:rFonts w:ascii="Garamond" w:eastAsia="Arial" w:hAnsi="Garamond" w:cs="Arial"/>
          <w:sz w:val="22"/>
          <w:szCs w:val="22"/>
          <w:lang w:val="es-ES"/>
        </w:rPr>
        <w:t xml:space="preserve"> respectivo para cada caso. </w:t>
      </w:r>
    </w:p>
    <w:p w14:paraId="2BE8BA92" w14:textId="77777777" w:rsidR="00C04C4B" w:rsidRPr="00C04C4B" w:rsidRDefault="00C04C4B" w:rsidP="00A23238">
      <w:pPr>
        <w:pStyle w:val="InviasNormal"/>
        <w:numPr>
          <w:ilvl w:val="1"/>
          <w:numId w:val="31"/>
        </w:numPr>
        <w:autoSpaceDE w:val="0"/>
        <w:autoSpaceDN w:val="0"/>
        <w:jc w:val="both"/>
        <w:rPr>
          <w:rFonts w:ascii="Garamond" w:eastAsia="Arial" w:hAnsi="Garamond" w:cs="Arial"/>
          <w:sz w:val="22"/>
          <w:szCs w:val="22"/>
        </w:rPr>
      </w:pPr>
      <w:r w:rsidRPr="00C04C4B">
        <w:rPr>
          <w:rFonts w:ascii="Garamond" w:eastAsia="Arial" w:hAnsi="Garamond" w:cs="Arial"/>
          <w:sz w:val="22"/>
          <w:szCs w:val="22"/>
        </w:rPr>
        <w:t xml:space="preserve">El nombramiento del revisor fiscal en caso </w:t>
      </w:r>
      <w:r w:rsidRPr="00C04C4B">
        <w:rPr>
          <w:rFonts w:ascii="Garamond" w:eastAsia="Arial" w:hAnsi="Garamond" w:cs="Arial"/>
          <w:sz w:val="22"/>
          <w:szCs w:val="22"/>
          <w:lang w:val="es-CO"/>
        </w:rPr>
        <w:t xml:space="preserve">de </w:t>
      </w:r>
      <w:r w:rsidRPr="00C04C4B">
        <w:rPr>
          <w:rFonts w:ascii="Garamond" w:eastAsia="Arial" w:hAnsi="Garamond" w:cs="Arial"/>
          <w:sz w:val="22"/>
          <w:szCs w:val="22"/>
        </w:rPr>
        <w:t>que</w:t>
      </w:r>
      <w:r w:rsidRPr="00C04C4B">
        <w:rPr>
          <w:rFonts w:ascii="Garamond" w:eastAsia="Arial" w:hAnsi="Garamond" w:cs="Arial"/>
          <w:sz w:val="22"/>
          <w:szCs w:val="22"/>
          <w:lang w:val="es-MX"/>
        </w:rPr>
        <w:t xml:space="preserve"> deba contar con uno.</w:t>
      </w:r>
    </w:p>
    <w:p w14:paraId="1A4A4457" w14:textId="77777777" w:rsidR="00C04C4B" w:rsidRPr="00C04C4B" w:rsidRDefault="00C04C4B" w:rsidP="00A23238">
      <w:pPr>
        <w:pStyle w:val="Invias-VietaNumerada"/>
        <w:numPr>
          <w:ilvl w:val="1"/>
          <w:numId w:val="31"/>
        </w:numPr>
        <w:spacing w:before="120" w:after="240"/>
        <w:rPr>
          <w:rFonts w:ascii="Garamond" w:eastAsia="Arial" w:hAnsi="Garamond" w:cs="Arial"/>
          <w:sz w:val="22"/>
          <w:szCs w:val="22"/>
          <w:lang w:val="es-ES"/>
        </w:rPr>
      </w:pPr>
      <w:r w:rsidRPr="00C04C4B">
        <w:rPr>
          <w:rFonts w:ascii="Garamond" w:eastAsia="Arial" w:hAnsi="Garamond" w:cs="Arial"/>
          <w:sz w:val="22"/>
          <w:szCs w:val="22"/>
          <w:lang w:val="es-CO"/>
        </w:rPr>
        <w:t>Que las personas jurídicas extranjeras con actividades permanentes en la República de Colombia (contratos de obra o</w:t>
      </w:r>
      <w:r w:rsidRPr="00C04C4B">
        <w:rPr>
          <w:rFonts w:ascii="Garamond" w:eastAsia="Arial" w:hAnsi="Garamond" w:cs="Arial"/>
          <w:sz w:val="22"/>
          <w:szCs w:val="22"/>
          <w:lang w:val="es-MX"/>
        </w:rPr>
        <w:t xml:space="preserve"> de</w:t>
      </w:r>
      <w:r w:rsidRPr="00C04C4B">
        <w:rPr>
          <w:rFonts w:ascii="Garamond" w:eastAsia="Arial" w:hAnsi="Garamond" w:cs="Arial"/>
          <w:sz w:val="22"/>
          <w:szCs w:val="22"/>
          <w:lang w:val="es-CO"/>
        </w:rPr>
        <w:t xml:space="preserve"> servicios) deberán estar legalmente establecidas en el territorio nacional de acuerdo con los artículos 471 y 474 del Código de Comercio.</w:t>
      </w:r>
    </w:p>
    <w:p w14:paraId="2E2C7428" w14:textId="77777777" w:rsidR="00C04C4B" w:rsidRPr="00C04C4B" w:rsidRDefault="00C04C4B" w:rsidP="00A23238">
      <w:pPr>
        <w:pStyle w:val="InviasNormal"/>
        <w:numPr>
          <w:ilvl w:val="0"/>
          <w:numId w:val="31"/>
        </w:numPr>
        <w:autoSpaceDE w:val="0"/>
        <w:autoSpaceDN w:val="0"/>
        <w:jc w:val="both"/>
        <w:rPr>
          <w:rFonts w:ascii="Garamond" w:eastAsia="Arial" w:hAnsi="Garamond" w:cs="Arial"/>
          <w:sz w:val="22"/>
          <w:szCs w:val="22"/>
        </w:rPr>
      </w:pPr>
      <w:r w:rsidRPr="00C04C4B">
        <w:rPr>
          <w:rFonts w:ascii="Garamond" w:eastAsia="Arial" w:hAnsi="Garamond" w:cs="Arial"/>
          <w:sz w:val="22"/>
          <w:szCs w:val="22"/>
        </w:rPr>
        <w:t xml:space="preserve">Certificación del </w:t>
      </w:r>
      <w:r w:rsidRPr="00C04C4B">
        <w:rPr>
          <w:rFonts w:ascii="Garamond" w:eastAsia="Arial" w:hAnsi="Garamond" w:cs="Arial"/>
          <w:sz w:val="22"/>
          <w:szCs w:val="22"/>
          <w:lang w:val="es-CO"/>
        </w:rPr>
        <w:t>r</w:t>
      </w:r>
      <w:proofErr w:type="spellStart"/>
      <w:r w:rsidRPr="00C04C4B">
        <w:rPr>
          <w:rFonts w:ascii="Garamond" w:eastAsia="Arial" w:hAnsi="Garamond" w:cs="Arial"/>
          <w:sz w:val="22"/>
          <w:szCs w:val="22"/>
        </w:rPr>
        <w:t>evisor</w:t>
      </w:r>
      <w:proofErr w:type="spellEnd"/>
      <w:r w:rsidRPr="00C04C4B">
        <w:rPr>
          <w:rFonts w:ascii="Garamond" w:eastAsia="Arial" w:hAnsi="Garamond" w:cs="Arial"/>
          <w:sz w:val="22"/>
          <w:szCs w:val="22"/>
        </w:rPr>
        <w:t xml:space="preserve"> </w:t>
      </w:r>
      <w:r w:rsidRPr="00C04C4B">
        <w:rPr>
          <w:rFonts w:ascii="Garamond" w:eastAsia="Arial" w:hAnsi="Garamond" w:cs="Arial"/>
          <w:sz w:val="22"/>
          <w:szCs w:val="22"/>
          <w:lang w:val="es-CO"/>
        </w:rPr>
        <w:t>f</w:t>
      </w:r>
      <w:r w:rsidRPr="00C04C4B">
        <w:rPr>
          <w:rFonts w:ascii="Garamond" w:eastAsia="Arial" w:hAnsi="Garamond" w:cs="Arial"/>
          <w:sz w:val="22"/>
          <w:szCs w:val="22"/>
        </w:rPr>
        <w:t>iscal, en caso de ser sociedad anónima colombiana, en la que conste si es abierta o cerrada.</w:t>
      </w:r>
    </w:p>
    <w:p w14:paraId="7A70DEFF" w14:textId="77777777" w:rsidR="00C04C4B" w:rsidRPr="00C04C4B" w:rsidRDefault="00C04C4B" w:rsidP="00A23238">
      <w:pPr>
        <w:pStyle w:val="InviasNormal"/>
        <w:numPr>
          <w:ilvl w:val="0"/>
          <w:numId w:val="31"/>
        </w:numPr>
        <w:autoSpaceDE w:val="0"/>
        <w:autoSpaceDN w:val="0"/>
        <w:jc w:val="both"/>
        <w:rPr>
          <w:rFonts w:ascii="Garamond" w:eastAsia="Arial" w:hAnsi="Garamond" w:cs="Arial"/>
          <w:sz w:val="22"/>
          <w:szCs w:val="22"/>
        </w:rPr>
      </w:pPr>
      <w:r w:rsidRPr="00C04C4B">
        <w:rPr>
          <w:rFonts w:ascii="Garamond" w:eastAsia="Arial" w:hAnsi="Garamond" w:cs="Arial"/>
          <w:sz w:val="22"/>
          <w:szCs w:val="22"/>
          <w:lang w:val="es-CO"/>
        </w:rPr>
        <w:t>Fotocopia del documento de identificación del representante legal</w:t>
      </w:r>
      <w:r w:rsidRPr="00C04C4B">
        <w:rPr>
          <w:rFonts w:ascii="Garamond" w:hAnsi="Garamond" w:cs="Arial"/>
          <w:sz w:val="22"/>
          <w:szCs w:val="22"/>
          <w:lang w:val="es-CO"/>
        </w:rPr>
        <w:t>.</w:t>
      </w:r>
    </w:p>
    <w:p w14:paraId="5727CCE1" w14:textId="77777777" w:rsidR="00C04C4B" w:rsidRPr="00C04C4B" w:rsidRDefault="00C04C4B" w:rsidP="00C04C4B">
      <w:pPr>
        <w:pStyle w:val="InviasNormal"/>
        <w:jc w:val="both"/>
        <w:rPr>
          <w:rFonts w:ascii="Garamond" w:eastAsia="Arial" w:hAnsi="Garamond" w:cs="Arial"/>
          <w:sz w:val="22"/>
          <w:szCs w:val="22"/>
        </w:rPr>
      </w:pPr>
      <w:r w:rsidRPr="00C04C4B">
        <w:rPr>
          <w:rFonts w:ascii="Garamond" w:eastAsia="Arial" w:hAnsi="Garamond" w:cs="Arial"/>
          <w:sz w:val="22"/>
          <w:szCs w:val="22"/>
        </w:rPr>
        <w:t xml:space="preserve">En </w:t>
      </w:r>
      <w:r w:rsidRPr="00C04C4B">
        <w:rPr>
          <w:rFonts w:ascii="Garamond" w:eastAsia="Arial" w:hAnsi="Garamond" w:cs="Arial"/>
          <w:sz w:val="22"/>
          <w:szCs w:val="22"/>
          <w:lang w:val="es-ES"/>
        </w:rPr>
        <w:t>el caso de</w:t>
      </w:r>
      <w:r w:rsidRPr="00C04C4B">
        <w:rPr>
          <w:rFonts w:ascii="Garamond" w:eastAsia="Arial" w:hAnsi="Garamond" w:cs="Arial"/>
          <w:sz w:val="22"/>
          <w:szCs w:val="22"/>
        </w:rPr>
        <w:t xml:space="preserve"> las </w:t>
      </w:r>
      <w:r w:rsidRPr="00C04C4B">
        <w:rPr>
          <w:rFonts w:ascii="Garamond" w:eastAsia="Arial" w:hAnsi="Garamond" w:cs="Arial"/>
          <w:sz w:val="22"/>
          <w:szCs w:val="22"/>
          <w:lang w:val="es-CO"/>
        </w:rPr>
        <w:t xml:space="preserve">sucursales de las </w:t>
      </w:r>
      <w:r w:rsidRPr="00C04C4B">
        <w:rPr>
          <w:rFonts w:ascii="Garamond" w:eastAsia="Arial" w:hAnsi="Garamond" w:cs="Arial"/>
          <w:sz w:val="22"/>
          <w:szCs w:val="22"/>
        </w:rPr>
        <w:t xml:space="preserve">personas jurídicas extranjeras y como quiera que la </w:t>
      </w:r>
      <w:r w:rsidRPr="00C04C4B">
        <w:rPr>
          <w:rFonts w:ascii="Garamond" w:eastAsia="Arial" w:hAnsi="Garamond" w:cs="Arial"/>
          <w:sz w:val="22"/>
          <w:szCs w:val="22"/>
          <w:lang w:val="es-CO"/>
        </w:rPr>
        <w:t xml:space="preserve">Sucursal </w:t>
      </w:r>
      <w:r w:rsidRPr="00C04C4B">
        <w:rPr>
          <w:rFonts w:ascii="Garamond" w:eastAsia="Arial" w:hAnsi="Garamond" w:cs="Arial"/>
          <w:sz w:val="22"/>
          <w:szCs w:val="22"/>
        </w:rPr>
        <w:t xml:space="preserve">en Colombia no es una persona jurídica diferente a la </w:t>
      </w:r>
      <w:r w:rsidRPr="00C04C4B">
        <w:rPr>
          <w:rFonts w:ascii="Garamond" w:eastAsia="Arial" w:hAnsi="Garamond" w:cs="Arial"/>
          <w:sz w:val="22"/>
          <w:szCs w:val="22"/>
          <w:lang w:val="es-MX"/>
        </w:rPr>
        <w:t>M</w:t>
      </w:r>
      <w:proofErr w:type="spellStart"/>
      <w:r w:rsidRPr="00C04C4B">
        <w:rPr>
          <w:rFonts w:ascii="Garamond" w:eastAsia="Arial" w:hAnsi="Garamond" w:cs="Arial"/>
          <w:sz w:val="22"/>
          <w:szCs w:val="22"/>
        </w:rPr>
        <w:t>atriz</w:t>
      </w:r>
      <w:proofErr w:type="spellEnd"/>
      <w:r w:rsidRPr="00C04C4B">
        <w:rPr>
          <w:rFonts w:ascii="Garamond" w:eastAsia="Arial" w:hAnsi="Garamond" w:cs="Arial"/>
          <w:sz w:val="22"/>
          <w:szCs w:val="22"/>
        </w:rPr>
        <w:t xml:space="preserve">, se tendrá en cuenta la fecha de constitución de esta última. </w:t>
      </w:r>
    </w:p>
    <w:p w14:paraId="2CEBB17A" w14:textId="77777777" w:rsidR="00C04C4B" w:rsidRPr="00C04C4B" w:rsidRDefault="00C04C4B" w:rsidP="00C04C4B">
      <w:pPr>
        <w:pStyle w:val="InviasNormal"/>
        <w:jc w:val="both"/>
        <w:rPr>
          <w:rFonts w:ascii="Garamond" w:eastAsia="Arial" w:hAnsi="Garamond" w:cs="Arial"/>
          <w:sz w:val="22"/>
          <w:szCs w:val="22"/>
          <w:lang w:val="es-ES"/>
        </w:rPr>
      </w:pPr>
      <w:r w:rsidRPr="00C04C4B">
        <w:rPr>
          <w:rFonts w:ascii="Garamond" w:eastAsia="Arial" w:hAnsi="Garamond" w:cs="Arial"/>
          <w:sz w:val="22"/>
          <w:szCs w:val="22"/>
          <w:lang w:val="es-ES"/>
        </w:rPr>
        <w:lastRenderedPageBreak/>
        <w:t>Si la oferta es suscrita por una persona jurídica extranjera a través de la Sucursal que está debidamente constituida en Colombia, se deberá acreditar la capacidad legal de la Sucursal y de su representante o mandatario mediante la presentación del Registro Único de Proponentes (</w:t>
      </w:r>
      <w:proofErr w:type="spellStart"/>
      <w:r w:rsidRPr="00C04C4B">
        <w:rPr>
          <w:rFonts w:ascii="Garamond" w:eastAsia="Arial" w:hAnsi="Garamond" w:cs="Arial"/>
          <w:sz w:val="22"/>
          <w:szCs w:val="22"/>
          <w:lang w:val="es-ES"/>
        </w:rPr>
        <w:t>RUP</w:t>
      </w:r>
      <w:proofErr w:type="spellEnd"/>
      <w:r w:rsidRPr="00C04C4B">
        <w:rPr>
          <w:rFonts w:ascii="Garamond" w:eastAsia="Arial" w:hAnsi="Garamond" w:cs="Arial"/>
          <w:sz w:val="22"/>
          <w:szCs w:val="22"/>
          <w:lang w:val="es-ES"/>
        </w:rPr>
        <w:t>) de la Sucursal y del certificado de existencia y representación legal entregado por la cámara de comercio respectiva, el cual debe tener una fecha de expedición de máximo de treinta (30) días calendario anteriores a la fecha de cierre del Proceso de Contratación. En caso de modificarse la fecha de cierre del proceso, se tendrá como referencia para establecer el plazo de vigencia del certificado la fecha originalmente señalada en el Pliego de Condiciones.</w:t>
      </w:r>
    </w:p>
    <w:p w14:paraId="690451B6" w14:textId="77777777" w:rsidR="00C04C4B" w:rsidRPr="00C04C4B" w:rsidRDefault="00C04C4B" w:rsidP="00C04C4B">
      <w:pPr>
        <w:pStyle w:val="InviasNormal"/>
        <w:jc w:val="both"/>
        <w:rPr>
          <w:rFonts w:ascii="Garamond" w:eastAsia="Arial" w:hAnsi="Garamond" w:cs="Arial"/>
          <w:sz w:val="22"/>
          <w:szCs w:val="22"/>
          <w:lang w:val="es-ES"/>
        </w:rPr>
      </w:pPr>
      <w:r w:rsidRPr="00C04C4B">
        <w:rPr>
          <w:rFonts w:ascii="Garamond" w:eastAsia="Arial" w:hAnsi="Garamond" w:cs="Arial"/>
          <w:sz w:val="22"/>
          <w:szCs w:val="22"/>
          <w:lang w:val="es-ES"/>
        </w:rPr>
        <w:t>Cuando el representante legal de la Sucursal tenga restricciones para contraer obligaciones, deberá acreditar autorización suficiente del órgano social competente para contraer obligaciones en nombre de la sociedad. La ausencia definitiva de autorización suficiente o el no aporte de dicho documento, una vez solicitado por la Entidad, determinará la falta de capacidad jurídica para presentar la oferta.</w:t>
      </w:r>
    </w:p>
    <w:p w14:paraId="65BF9C64" w14:textId="77777777" w:rsidR="00C04C4B" w:rsidRPr="00C04C4B" w:rsidRDefault="00C04C4B" w:rsidP="00A23238">
      <w:pPr>
        <w:pStyle w:val="Prrafodelista"/>
        <w:widowControl/>
        <w:numPr>
          <w:ilvl w:val="0"/>
          <w:numId w:val="35"/>
        </w:numPr>
        <w:spacing w:after="160" w:line="259" w:lineRule="auto"/>
        <w:contextualSpacing/>
        <w:rPr>
          <w:rFonts w:ascii="Garamond" w:eastAsia="Arial" w:hAnsi="Garamond" w:cs="Arial"/>
          <w:lang w:val="es-ES" w:eastAsia="es-ES"/>
        </w:rPr>
      </w:pPr>
      <w:r w:rsidRPr="00C04C4B">
        <w:rPr>
          <w:rFonts w:ascii="Garamond" w:eastAsia="Arial" w:hAnsi="Garamond" w:cs="Arial"/>
          <w:lang w:val="es-ES" w:eastAsia="es-ES"/>
        </w:rPr>
        <w:t>Persona jurídica extranjera sin sucursal o domicilio en Colombia: Documentos que acrediten la existencia y representación legal de la sociedad extranjera, legalizados o apostillados de conformidad con lo establecido en el Pliego de Condiciones, con una expedición de máximo seis (6) meses anteriores a la fecha de cierre del Proceso de Contratación, en el que debe constar como mínimo los siguientes aspectos: </w:t>
      </w:r>
    </w:p>
    <w:p w14:paraId="02DF8A0A" w14:textId="77777777" w:rsidR="00C04C4B" w:rsidRPr="00C04C4B" w:rsidRDefault="00C04C4B" w:rsidP="00C04C4B">
      <w:pPr>
        <w:ind w:left="720"/>
        <w:contextualSpacing/>
        <w:jc w:val="both"/>
        <w:rPr>
          <w:rFonts w:ascii="Garamond" w:hAnsi="Garamond" w:cs="Arial"/>
        </w:rPr>
      </w:pPr>
    </w:p>
    <w:p w14:paraId="54BF4FB6" w14:textId="77777777" w:rsidR="00C04C4B" w:rsidRPr="00C04C4B" w:rsidRDefault="00C04C4B" w:rsidP="00A23238">
      <w:pPr>
        <w:pStyle w:val="InviasNormal"/>
        <w:numPr>
          <w:ilvl w:val="0"/>
          <w:numId w:val="32"/>
        </w:numPr>
        <w:autoSpaceDE w:val="0"/>
        <w:autoSpaceDN w:val="0"/>
        <w:jc w:val="both"/>
        <w:rPr>
          <w:rFonts w:ascii="Garamond" w:eastAsia="Arial" w:hAnsi="Garamond" w:cs="Arial"/>
          <w:sz w:val="22"/>
          <w:szCs w:val="22"/>
          <w:lang w:val="es-CO"/>
        </w:rPr>
      </w:pPr>
      <w:r w:rsidRPr="00C04C4B">
        <w:rPr>
          <w:rFonts w:ascii="Garamond" w:eastAsia="Arial" w:hAnsi="Garamond" w:cs="Arial"/>
          <w:sz w:val="22"/>
          <w:szCs w:val="22"/>
          <w:lang w:val="es-CO"/>
        </w:rPr>
        <w:t>Nombre o razón social completa.</w:t>
      </w:r>
    </w:p>
    <w:p w14:paraId="4A61EE28" w14:textId="77777777" w:rsidR="00C04C4B" w:rsidRPr="00C04C4B" w:rsidRDefault="00C04C4B" w:rsidP="00A23238">
      <w:pPr>
        <w:pStyle w:val="InviasNormal"/>
        <w:numPr>
          <w:ilvl w:val="0"/>
          <w:numId w:val="32"/>
        </w:numPr>
        <w:autoSpaceDE w:val="0"/>
        <w:autoSpaceDN w:val="0"/>
        <w:jc w:val="both"/>
        <w:rPr>
          <w:rFonts w:ascii="Garamond" w:eastAsia="Arial" w:hAnsi="Garamond" w:cs="Arial"/>
          <w:sz w:val="22"/>
          <w:szCs w:val="22"/>
        </w:rPr>
      </w:pPr>
      <w:r w:rsidRPr="00C04C4B">
        <w:rPr>
          <w:rFonts w:ascii="Garamond" w:eastAsia="Arial" w:hAnsi="Garamond" w:cs="Arial"/>
          <w:sz w:val="22"/>
          <w:szCs w:val="22"/>
        </w:rPr>
        <w:t xml:space="preserve">Nombre del </w:t>
      </w:r>
      <w:r w:rsidRPr="00C04C4B">
        <w:rPr>
          <w:rFonts w:ascii="Garamond" w:eastAsia="Arial" w:hAnsi="Garamond" w:cs="Arial"/>
          <w:sz w:val="22"/>
          <w:szCs w:val="22"/>
          <w:lang w:val="es-CO"/>
        </w:rPr>
        <w:t>r</w:t>
      </w:r>
      <w:proofErr w:type="spellStart"/>
      <w:r w:rsidRPr="00C04C4B">
        <w:rPr>
          <w:rFonts w:ascii="Garamond" w:eastAsia="Arial" w:hAnsi="Garamond" w:cs="Arial"/>
          <w:sz w:val="22"/>
          <w:szCs w:val="22"/>
        </w:rPr>
        <w:t>epresentante</w:t>
      </w:r>
      <w:proofErr w:type="spellEnd"/>
      <w:r w:rsidRPr="00C04C4B">
        <w:rPr>
          <w:rFonts w:ascii="Garamond" w:eastAsia="Arial" w:hAnsi="Garamond" w:cs="Arial"/>
          <w:sz w:val="22"/>
          <w:szCs w:val="22"/>
        </w:rPr>
        <w:t xml:space="preserve"> </w:t>
      </w:r>
      <w:r w:rsidRPr="00C04C4B">
        <w:rPr>
          <w:rFonts w:ascii="Garamond" w:eastAsia="Arial" w:hAnsi="Garamond" w:cs="Arial"/>
          <w:sz w:val="22"/>
          <w:szCs w:val="22"/>
          <w:lang w:val="es-CO"/>
        </w:rPr>
        <w:t>l</w:t>
      </w:r>
      <w:proofErr w:type="spellStart"/>
      <w:r w:rsidRPr="00C04C4B">
        <w:rPr>
          <w:rFonts w:ascii="Garamond" w:eastAsia="Arial" w:hAnsi="Garamond" w:cs="Arial"/>
          <w:sz w:val="22"/>
          <w:szCs w:val="22"/>
        </w:rPr>
        <w:t>egal</w:t>
      </w:r>
      <w:proofErr w:type="spellEnd"/>
      <w:r w:rsidRPr="00C04C4B">
        <w:rPr>
          <w:rFonts w:ascii="Garamond" w:eastAsia="Arial" w:hAnsi="Garamond" w:cs="Arial"/>
          <w:sz w:val="22"/>
          <w:szCs w:val="22"/>
        </w:rPr>
        <w:t xml:space="preserve"> o de la persona facultada para comprometer a la persona jurídica.</w:t>
      </w:r>
    </w:p>
    <w:p w14:paraId="29FA5ABC" w14:textId="77777777" w:rsidR="00C04C4B" w:rsidRPr="00C04C4B" w:rsidRDefault="00C04C4B" w:rsidP="00A23238">
      <w:pPr>
        <w:pStyle w:val="InviasNormal"/>
        <w:numPr>
          <w:ilvl w:val="0"/>
          <w:numId w:val="32"/>
        </w:numPr>
        <w:autoSpaceDE w:val="0"/>
        <w:autoSpaceDN w:val="0"/>
        <w:jc w:val="both"/>
        <w:rPr>
          <w:rFonts w:ascii="Garamond" w:eastAsia="Arial" w:hAnsi="Garamond" w:cs="Arial"/>
          <w:sz w:val="22"/>
          <w:szCs w:val="22"/>
        </w:rPr>
      </w:pPr>
      <w:r w:rsidRPr="00C04C4B">
        <w:rPr>
          <w:rFonts w:ascii="Garamond" w:eastAsia="Arial" w:hAnsi="Garamond" w:cs="Arial"/>
          <w:sz w:val="22"/>
          <w:szCs w:val="22"/>
        </w:rPr>
        <w:t xml:space="preserve">Que el objeto de la sociedad permita ejecutar las actividades descritas en el objeto del </w:t>
      </w:r>
      <w:r w:rsidRPr="00C04C4B">
        <w:rPr>
          <w:rFonts w:ascii="Garamond" w:eastAsia="Arial" w:hAnsi="Garamond" w:cs="Arial"/>
          <w:sz w:val="22"/>
          <w:szCs w:val="22"/>
          <w:lang w:val="es-CO"/>
        </w:rPr>
        <w:t>P</w:t>
      </w:r>
      <w:proofErr w:type="spellStart"/>
      <w:r w:rsidRPr="00C04C4B">
        <w:rPr>
          <w:rFonts w:ascii="Garamond" w:eastAsia="Arial" w:hAnsi="Garamond" w:cs="Arial"/>
          <w:sz w:val="22"/>
          <w:szCs w:val="22"/>
        </w:rPr>
        <w:t>roceso</w:t>
      </w:r>
      <w:proofErr w:type="spellEnd"/>
      <w:r w:rsidRPr="00C04C4B">
        <w:rPr>
          <w:rFonts w:ascii="Garamond" w:eastAsia="Arial" w:hAnsi="Garamond" w:cs="Arial"/>
          <w:sz w:val="22"/>
          <w:szCs w:val="22"/>
        </w:rPr>
        <w:t xml:space="preserve"> de </w:t>
      </w:r>
      <w:r w:rsidRPr="00C04C4B">
        <w:rPr>
          <w:rFonts w:ascii="Garamond" w:eastAsia="Arial" w:hAnsi="Garamond" w:cs="Arial"/>
          <w:sz w:val="22"/>
          <w:szCs w:val="22"/>
          <w:lang w:val="es-CO"/>
        </w:rPr>
        <w:t>C</w:t>
      </w:r>
      <w:proofErr w:type="spellStart"/>
      <w:r w:rsidRPr="00C04C4B">
        <w:rPr>
          <w:rFonts w:ascii="Garamond" w:eastAsia="Arial" w:hAnsi="Garamond" w:cs="Arial"/>
          <w:sz w:val="22"/>
          <w:szCs w:val="22"/>
        </w:rPr>
        <w:t>ontratación</w:t>
      </w:r>
      <w:proofErr w:type="spellEnd"/>
      <w:r w:rsidRPr="00C04C4B">
        <w:rPr>
          <w:rFonts w:ascii="Garamond" w:eastAsia="Arial" w:hAnsi="Garamond" w:cs="Arial"/>
          <w:sz w:val="22"/>
          <w:szCs w:val="22"/>
        </w:rPr>
        <w:t>.</w:t>
      </w:r>
    </w:p>
    <w:p w14:paraId="0477AED9" w14:textId="77777777" w:rsidR="00C04C4B" w:rsidRPr="00C04C4B" w:rsidRDefault="00C04C4B" w:rsidP="00A23238">
      <w:pPr>
        <w:pStyle w:val="InviasNormal"/>
        <w:numPr>
          <w:ilvl w:val="0"/>
          <w:numId w:val="32"/>
        </w:numPr>
        <w:autoSpaceDE w:val="0"/>
        <w:autoSpaceDN w:val="0"/>
        <w:jc w:val="both"/>
        <w:rPr>
          <w:rFonts w:ascii="Garamond" w:eastAsia="Arial" w:hAnsi="Garamond" w:cs="Arial"/>
          <w:sz w:val="22"/>
          <w:szCs w:val="22"/>
        </w:rPr>
      </w:pPr>
      <w:r w:rsidRPr="00C04C4B">
        <w:rPr>
          <w:rFonts w:ascii="Garamond" w:eastAsia="Arial" w:hAnsi="Garamond" w:cs="Arial"/>
          <w:sz w:val="22"/>
          <w:szCs w:val="22"/>
        </w:rPr>
        <w:t xml:space="preserve">Facultades del representante legal o de la persona </w:t>
      </w:r>
      <w:r w:rsidRPr="00C04C4B">
        <w:rPr>
          <w:rFonts w:ascii="Garamond" w:eastAsia="Arial" w:hAnsi="Garamond" w:cs="Arial"/>
          <w:sz w:val="22"/>
          <w:szCs w:val="22"/>
          <w:lang w:val="es-MX"/>
        </w:rPr>
        <w:t xml:space="preserve">facultada </w:t>
      </w:r>
      <w:r w:rsidRPr="00C04C4B">
        <w:rPr>
          <w:rFonts w:ascii="Garamond" w:eastAsia="Arial" w:hAnsi="Garamond" w:cs="Arial"/>
          <w:sz w:val="22"/>
          <w:szCs w:val="22"/>
        </w:rPr>
        <w:t xml:space="preserve">para comprometer a la persona jurídica, en la que se señale expresamente que el representante no tiene limitaciones para contraer obligaciones en nombre de la misma o aportando la autorización o documento correspondiente del órgano social </w:t>
      </w:r>
      <w:r w:rsidRPr="00C04C4B">
        <w:rPr>
          <w:rFonts w:ascii="Garamond" w:eastAsia="Arial" w:hAnsi="Garamond" w:cs="Arial"/>
          <w:sz w:val="22"/>
          <w:szCs w:val="22"/>
          <w:lang w:val="es-MX"/>
        </w:rPr>
        <w:t xml:space="preserve">competente respectivo </w:t>
      </w:r>
      <w:r w:rsidRPr="00C04C4B">
        <w:rPr>
          <w:rFonts w:ascii="Garamond" w:eastAsia="Arial" w:hAnsi="Garamond" w:cs="Arial"/>
          <w:sz w:val="22"/>
          <w:szCs w:val="22"/>
        </w:rPr>
        <w:t xml:space="preserve">para cada caso. </w:t>
      </w:r>
    </w:p>
    <w:p w14:paraId="7E7B786B" w14:textId="77777777" w:rsidR="00C04C4B" w:rsidRPr="00C04C4B" w:rsidRDefault="00C04C4B" w:rsidP="00A23238">
      <w:pPr>
        <w:pStyle w:val="InviasNormal"/>
        <w:numPr>
          <w:ilvl w:val="0"/>
          <w:numId w:val="32"/>
        </w:numPr>
        <w:autoSpaceDE w:val="0"/>
        <w:autoSpaceDN w:val="0"/>
        <w:jc w:val="both"/>
        <w:rPr>
          <w:rFonts w:ascii="Garamond" w:eastAsia="Arial" w:hAnsi="Garamond" w:cs="Arial"/>
          <w:sz w:val="22"/>
          <w:szCs w:val="22"/>
          <w:lang w:val="es-CO"/>
        </w:rPr>
      </w:pPr>
      <w:r w:rsidRPr="00C04C4B">
        <w:rPr>
          <w:rFonts w:ascii="Garamond" w:eastAsia="Arial" w:hAnsi="Garamond" w:cs="Arial"/>
          <w:sz w:val="22"/>
          <w:szCs w:val="22"/>
          <w:lang w:val="es-CO"/>
        </w:rPr>
        <w:t xml:space="preserve">Tipo, número y fecha del documento de constitución o creación. </w:t>
      </w:r>
    </w:p>
    <w:p w14:paraId="61C7ACE9" w14:textId="77777777" w:rsidR="00C04C4B" w:rsidRPr="00C04C4B" w:rsidRDefault="00C04C4B" w:rsidP="00A23238">
      <w:pPr>
        <w:pStyle w:val="InviasNormal"/>
        <w:numPr>
          <w:ilvl w:val="0"/>
          <w:numId w:val="32"/>
        </w:numPr>
        <w:autoSpaceDE w:val="0"/>
        <w:autoSpaceDN w:val="0"/>
        <w:jc w:val="both"/>
        <w:rPr>
          <w:rFonts w:ascii="Garamond" w:eastAsia="Arial" w:hAnsi="Garamond" w:cs="Arial"/>
          <w:sz w:val="22"/>
          <w:szCs w:val="22"/>
          <w:lang w:val="es-CO"/>
        </w:rPr>
      </w:pPr>
      <w:r w:rsidRPr="00C04C4B">
        <w:rPr>
          <w:rFonts w:ascii="Garamond" w:eastAsia="Arial" w:hAnsi="Garamond" w:cs="Arial"/>
          <w:sz w:val="22"/>
          <w:szCs w:val="22"/>
          <w:lang w:val="es-CO"/>
        </w:rPr>
        <w:t>Fecha y clase de documento por el cual se reconoce la personería jurídica.</w:t>
      </w:r>
    </w:p>
    <w:p w14:paraId="44415337" w14:textId="77777777" w:rsidR="00C04C4B" w:rsidRPr="00C04C4B" w:rsidRDefault="00C04C4B" w:rsidP="00A23238">
      <w:pPr>
        <w:pStyle w:val="InviasNormal"/>
        <w:numPr>
          <w:ilvl w:val="0"/>
          <w:numId w:val="32"/>
        </w:numPr>
        <w:autoSpaceDE w:val="0"/>
        <w:autoSpaceDN w:val="0"/>
        <w:jc w:val="both"/>
        <w:rPr>
          <w:rFonts w:ascii="Garamond" w:eastAsia="Arial" w:hAnsi="Garamond" w:cs="Arial"/>
          <w:sz w:val="22"/>
          <w:szCs w:val="22"/>
        </w:rPr>
      </w:pPr>
      <w:r w:rsidRPr="00C04C4B">
        <w:rPr>
          <w:rFonts w:ascii="Garamond" w:eastAsia="Arial" w:hAnsi="Garamond" w:cs="Arial"/>
          <w:sz w:val="22"/>
          <w:szCs w:val="22"/>
          <w:lang w:val="es-CO"/>
        </w:rPr>
        <w:t>Acreditar que su duración no será inferior a la del plazo del contrato y un año más</w:t>
      </w:r>
      <w:r w:rsidRPr="00C04C4B">
        <w:rPr>
          <w:rFonts w:ascii="Garamond" w:eastAsia="Arial" w:hAnsi="Garamond" w:cs="Arial"/>
          <w:sz w:val="22"/>
          <w:szCs w:val="22"/>
        </w:rPr>
        <w:t xml:space="preserve">. </w:t>
      </w:r>
    </w:p>
    <w:p w14:paraId="19224664" w14:textId="77777777" w:rsidR="00C04C4B" w:rsidRPr="00C04C4B" w:rsidRDefault="00C04C4B" w:rsidP="00A23238">
      <w:pPr>
        <w:pStyle w:val="InviasNormal"/>
        <w:numPr>
          <w:ilvl w:val="0"/>
          <w:numId w:val="32"/>
        </w:numPr>
        <w:autoSpaceDE w:val="0"/>
        <w:autoSpaceDN w:val="0"/>
        <w:jc w:val="both"/>
        <w:rPr>
          <w:rFonts w:ascii="Garamond" w:eastAsia="Arial" w:hAnsi="Garamond" w:cs="Arial"/>
          <w:sz w:val="22"/>
          <w:szCs w:val="22"/>
          <w:lang w:val="es-CO"/>
        </w:rPr>
      </w:pPr>
      <w:r w:rsidRPr="00C04C4B">
        <w:rPr>
          <w:rFonts w:ascii="Garamond" w:eastAsia="Arial" w:hAnsi="Garamond" w:cs="Arial"/>
          <w:sz w:val="22"/>
          <w:szCs w:val="22"/>
          <w:lang w:val="es-CO"/>
        </w:rPr>
        <w:t xml:space="preserve">Fotocopia del documento de identificación del representante legal </w:t>
      </w:r>
    </w:p>
    <w:p w14:paraId="52F322E6" w14:textId="77777777" w:rsidR="00C04C4B" w:rsidRPr="00C04C4B" w:rsidRDefault="00C04C4B" w:rsidP="00C04C4B">
      <w:pPr>
        <w:pStyle w:val="InviasNormal"/>
        <w:jc w:val="both"/>
        <w:rPr>
          <w:rFonts w:ascii="Garamond" w:eastAsia="Arial" w:hAnsi="Garamond" w:cs="Arial"/>
          <w:sz w:val="22"/>
          <w:szCs w:val="22"/>
          <w:lang w:val="es-CO"/>
        </w:rPr>
      </w:pPr>
      <w:r w:rsidRPr="00C04C4B">
        <w:rPr>
          <w:rFonts w:ascii="Garamond" w:eastAsia="Arial" w:hAnsi="Garamond" w:cs="Arial"/>
          <w:sz w:val="22"/>
          <w:szCs w:val="22"/>
          <w:lang w:val="es-CO"/>
        </w:rPr>
        <w:lastRenderedPageBreak/>
        <w:t xml:space="preserve">Si no existiera ninguna autoridad o Entidad que certifique la totalidad de la información de existencia y representación legal, el Proponente o miembro extranjero del Proponente Plural debe presentar una declaración juramentada de una persona con capacidad jurídica para vincular y representar a la sociedad en la que conste que: i) no existe autoridad u organismo que certifique lo solicitado en el presente numeral ; </w:t>
      </w:r>
      <w:proofErr w:type="spellStart"/>
      <w:r w:rsidRPr="00C04C4B">
        <w:rPr>
          <w:rFonts w:ascii="Garamond" w:eastAsia="Arial" w:hAnsi="Garamond" w:cs="Arial"/>
          <w:sz w:val="22"/>
          <w:szCs w:val="22"/>
          <w:lang w:val="es-CO"/>
        </w:rPr>
        <w:t>ii</w:t>
      </w:r>
      <w:proofErr w:type="spellEnd"/>
      <w:r w:rsidRPr="00C04C4B">
        <w:rPr>
          <w:rFonts w:ascii="Garamond" w:eastAsia="Arial" w:hAnsi="Garamond" w:cs="Arial"/>
          <w:sz w:val="22"/>
          <w:szCs w:val="22"/>
          <w:lang w:val="es-CO"/>
        </w:rPr>
        <w:t xml:space="preserve">) la información requerida en el presente literal l y </w:t>
      </w:r>
      <w:proofErr w:type="spellStart"/>
      <w:r w:rsidRPr="00C04C4B">
        <w:rPr>
          <w:rFonts w:ascii="Garamond" w:eastAsia="Arial" w:hAnsi="Garamond" w:cs="Arial"/>
          <w:sz w:val="22"/>
          <w:szCs w:val="22"/>
          <w:lang w:val="es-CO"/>
        </w:rPr>
        <w:t>iii</w:t>
      </w:r>
      <w:proofErr w:type="spellEnd"/>
      <w:r w:rsidRPr="00C04C4B">
        <w:rPr>
          <w:rFonts w:ascii="Garamond" w:eastAsia="Arial" w:hAnsi="Garamond" w:cs="Arial"/>
          <w:sz w:val="22"/>
          <w:szCs w:val="22"/>
          <w:lang w:val="es-CO"/>
        </w:rPr>
        <w:t>) la capacidad jurídica para vincular y representar a la sociedad de la persona que efectúa la declaración, así como de las demás personas que puedan representar y vincular a la sociedad, si las hay.</w:t>
      </w:r>
    </w:p>
    <w:p w14:paraId="548EB0B6" w14:textId="77777777" w:rsidR="00C04C4B" w:rsidRPr="00C04C4B" w:rsidRDefault="00C04C4B" w:rsidP="00C04C4B">
      <w:pPr>
        <w:pStyle w:val="InviasNormal"/>
        <w:jc w:val="both"/>
        <w:rPr>
          <w:rFonts w:ascii="Garamond" w:eastAsia="Arial" w:hAnsi="Garamond" w:cs="Arial"/>
          <w:sz w:val="22"/>
          <w:szCs w:val="22"/>
          <w:lang w:val="es-CO"/>
        </w:rPr>
      </w:pPr>
      <w:r w:rsidRPr="00C04C4B">
        <w:rPr>
          <w:rFonts w:ascii="Garamond" w:eastAsia="Arial" w:hAnsi="Garamond" w:cs="Arial"/>
          <w:b/>
          <w:bCs/>
          <w:sz w:val="22"/>
          <w:szCs w:val="22"/>
          <w:lang w:val="es-CO"/>
        </w:rPr>
        <w:t xml:space="preserve">Nota 3: </w:t>
      </w:r>
      <w:r w:rsidRPr="00C04C4B">
        <w:rPr>
          <w:rFonts w:ascii="Garamond" w:eastAsia="Arial" w:hAnsi="Garamond" w:cs="Arial"/>
          <w:sz w:val="22"/>
          <w:szCs w:val="22"/>
          <w:lang w:val="es-CO"/>
        </w:rPr>
        <w:t>En caso de que la persona jurídica sin sucursal o domicilio en Colombia resulte adjudicatario del proceso, tanto de forma individual o como integrante de una estructura plural, deberá constituir una sucursal con domicilio en el territorio nacional, lo anterior de acuerdo con lo dispuesto en el artículo 471 y ss. del Código de Comercio.</w:t>
      </w:r>
    </w:p>
    <w:p w14:paraId="011E2A2F" w14:textId="77777777" w:rsidR="00C04C4B" w:rsidRPr="00C04C4B" w:rsidRDefault="00C04C4B" w:rsidP="00A23238">
      <w:pPr>
        <w:pStyle w:val="InviasNormal"/>
        <w:numPr>
          <w:ilvl w:val="0"/>
          <w:numId w:val="35"/>
        </w:numPr>
        <w:autoSpaceDE w:val="0"/>
        <w:autoSpaceDN w:val="0"/>
        <w:jc w:val="both"/>
        <w:rPr>
          <w:rFonts w:ascii="Garamond" w:eastAsia="Arial" w:hAnsi="Garamond" w:cs="Arial"/>
          <w:sz w:val="22"/>
          <w:szCs w:val="22"/>
          <w:lang w:val="es-CO"/>
        </w:rPr>
      </w:pPr>
      <w:r w:rsidRPr="00C04C4B">
        <w:rPr>
          <w:rFonts w:ascii="Garamond" w:eastAsia="Arial" w:hAnsi="Garamond" w:cs="Arial"/>
          <w:sz w:val="22"/>
          <w:szCs w:val="22"/>
          <w:lang w:val="es-CO"/>
        </w:rPr>
        <w:t>Las Entidades: Deben presentar los siguientes documentos para acreditar su existencia.</w:t>
      </w:r>
    </w:p>
    <w:p w14:paraId="7D450E69" w14:textId="77777777" w:rsidR="00C04C4B" w:rsidRPr="00C04C4B" w:rsidRDefault="00C04C4B" w:rsidP="00C04C4B">
      <w:pPr>
        <w:pStyle w:val="InviasNormal"/>
        <w:jc w:val="both"/>
        <w:rPr>
          <w:rFonts w:ascii="Garamond" w:eastAsia="Arial" w:hAnsi="Garamond" w:cs="Arial"/>
          <w:sz w:val="22"/>
          <w:szCs w:val="22"/>
          <w:lang w:val="es-CO"/>
        </w:rPr>
      </w:pPr>
      <w:r w:rsidRPr="00C04C4B">
        <w:rPr>
          <w:rFonts w:ascii="Garamond" w:eastAsia="Arial" w:hAnsi="Garamond" w:cs="Arial"/>
          <w:sz w:val="22"/>
          <w:szCs w:val="22"/>
          <w:lang w:val="es-CO"/>
        </w:rPr>
        <w:t>Acto de creación de la Entidad. Este puede ser ley, decreto, ordenanza, acuerdo o certificado de existencia y representación legal (este último no mayor a treinta (30) días calendario anteriores a la fecha de cierre del Proceso de Contratación) o documento equivalente que permita conocer la naturaleza jurídica, funciones, órganos de dirección o régimen jurídico de contratación de la Entidad.</w:t>
      </w:r>
    </w:p>
    <w:p w14:paraId="5D46BAF8" w14:textId="77777777" w:rsidR="00C04C4B" w:rsidRPr="00C04C4B" w:rsidRDefault="00C04C4B" w:rsidP="00C04C4B">
      <w:pPr>
        <w:tabs>
          <w:tab w:val="left" w:pos="-142"/>
        </w:tabs>
        <w:autoSpaceDE w:val="0"/>
        <w:autoSpaceDN w:val="0"/>
        <w:adjustRightInd w:val="0"/>
        <w:jc w:val="both"/>
        <w:rPr>
          <w:rFonts w:ascii="Garamond" w:eastAsia="Arial" w:hAnsi="Garamond" w:cs="Arial"/>
          <w:lang w:eastAsia="es-ES"/>
        </w:rPr>
      </w:pPr>
      <w:r w:rsidRPr="00C04C4B">
        <w:rPr>
          <w:rFonts w:ascii="Garamond" w:eastAsia="Arial" w:hAnsi="Garamond" w:cs="Arial"/>
          <w:b/>
          <w:lang w:eastAsia="es-ES"/>
        </w:rPr>
        <w:t>Nota 4:</w:t>
      </w:r>
      <w:r w:rsidRPr="00C04C4B">
        <w:rPr>
          <w:rFonts w:ascii="Garamond" w:eastAsia="Arial" w:hAnsi="Garamond" w:cs="Arial"/>
          <w:lang w:eastAsia="es-ES"/>
        </w:rPr>
        <w:t xml:space="preserve"> En el evento de personas jurídicas no obligadas a aportar el certificado de existencia y representación legal, deberán aportar un documento equivalente que acredite su existencia, junto con los documentos que demuestren la capacidad del representante legal de la Entidad o sociedad a contratar, en el cual se verificará:  </w:t>
      </w:r>
    </w:p>
    <w:p w14:paraId="7D7FA5F7" w14:textId="77777777" w:rsidR="00C04C4B" w:rsidRPr="00C04C4B" w:rsidRDefault="00C04C4B" w:rsidP="00C04C4B">
      <w:pPr>
        <w:tabs>
          <w:tab w:val="left" w:pos="-142"/>
        </w:tabs>
        <w:autoSpaceDE w:val="0"/>
        <w:autoSpaceDN w:val="0"/>
        <w:adjustRightInd w:val="0"/>
        <w:jc w:val="both"/>
        <w:rPr>
          <w:rFonts w:ascii="Garamond" w:eastAsia="Arial" w:hAnsi="Garamond" w:cs="Arial"/>
          <w:lang w:eastAsia="es-ES"/>
        </w:rPr>
      </w:pPr>
    </w:p>
    <w:p w14:paraId="250EE7D3" w14:textId="77777777" w:rsidR="00C04C4B" w:rsidRPr="00C04C4B" w:rsidRDefault="00C04C4B" w:rsidP="00A23238">
      <w:pPr>
        <w:pStyle w:val="Prrafodelista"/>
        <w:widowControl/>
        <w:numPr>
          <w:ilvl w:val="0"/>
          <w:numId w:val="38"/>
        </w:numPr>
        <w:contextualSpacing/>
        <w:rPr>
          <w:rFonts w:ascii="Garamond" w:eastAsiaTheme="minorEastAsia" w:hAnsi="Garamond" w:cs="Arial"/>
        </w:rPr>
      </w:pPr>
      <w:r w:rsidRPr="00C04C4B">
        <w:rPr>
          <w:rFonts w:ascii="Garamond" w:eastAsia="Arial" w:hAnsi="Garamond" w:cs="Arial"/>
          <w:lang w:eastAsia="es-ES"/>
        </w:rPr>
        <w:t>Fecha de expedición del documento equivalente que acredite su existencia,</w:t>
      </w:r>
      <w:r w:rsidRPr="00C04C4B">
        <w:rPr>
          <w:rFonts w:ascii="Garamond" w:hAnsi="Garamond"/>
        </w:rPr>
        <w:t xml:space="preserve"> </w:t>
      </w:r>
      <w:r w:rsidRPr="00C04C4B">
        <w:rPr>
          <w:rFonts w:ascii="Garamond" w:hAnsi="Garamond" w:cs="Arial"/>
        </w:rPr>
        <w:t>con una fecha de expedición no mayor a treinta (30) días calendario anteriores a la fecha de cierre del Proceso de Contratación. En caso de modificarse la fecha de cierre del proceso, se tendrá como referencia para establecer el plazo de vigencia del certificado la fecha originalmente definida en el presente Pliego de Condiciones.</w:t>
      </w:r>
    </w:p>
    <w:p w14:paraId="47E03D21" w14:textId="77777777" w:rsidR="00C04C4B" w:rsidRPr="00C04C4B" w:rsidRDefault="00C04C4B" w:rsidP="00A23238">
      <w:pPr>
        <w:pStyle w:val="Prrafodelista"/>
        <w:widowControl/>
        <w:numPr>
          <w:ilvl w:val="0"/>
          <w:numId w:val="38"/>
        </w:numPr>
        <w:contextualSpacing/>
        <w:rPr>
          <w:rFonts w:ascii="Garamond" w:eastAsia="Arial" w:hAnsi="Garamond" w:cs="Arial"/>
          <w:lang w:eastAsia="es-ES"/>
        </w:rPr>
      </w:pPr>
      <w:r w:rsidRPr="00C04C4B">
        <w:rPr>
          <w:rFonts w:ascii="Garamond" w:eastAsia="Arial" w:hAnsi="Garamond" w:cs="Arial"/>
          <w:lang w:eastAsia="es-ES"/>
        </w:rPr>
        <w:t xml:space="preserve">Que el objeto incluya las actividades principales objeto del presente proceso. </w:t>
      </w:r>
    </w:p>
    <w:p w14:paraId="0095ECAA" w14:textId="77777777" w:rsidR="00C04C4B" w:rsidRPr="00C04C4B" w:rsidRDefault="00C04C4B" w:rsidP="00A23238">
      <w:pPr>
        <w:pStyle w:val="Prrafodelista"/>
        <w:widowControl/>
        <w:numPr>
          <w:ilvl w:val="0"/>
          <w:numId w:val="38"/>
        </w:numPr>
        <w:contextualSpacing/>
        <w:rPr>
          <w:rFonts w:ascii="Garamond" w:eastAsia="Arial" w:hAnsi="Garamond" w:cs="Arial"/>
          <w:lang w:eastAsia="es-ES"/>
        </w:rPr>
      </w:pPr>
      <w:r w:rsidRPr="00C04C4B">
        <w:rPr>
          <w:rFonts w:ascii="Garamond" w:eastAsia="Arial" w:hAnsi="Garamond" w:cs="Arial"/>
          <w:lang w:eastAsia="es-ES"/>
        </w:rPr>
        <w:t>La duración deberá ser por lo menos igual al plazo estimado del contrato y un (1) año más.</w:t>
      </w:r>
    </w:p>
    <w:p w14:paraId="12A4E8C9" w14:textId="77777777" w:rsidR="00C04C4B" w:rsidRPr="00C04C4B" w:rsidRDefault="00C04C4B" w:rsidP="00A23238">
      <w:pPr>
        <w:pStyle w:val="Prrafodelista"/>
        <w:widowControl/>
        <w:numPr>
          <w:ilvl w:val="0"/>
          <w:numId w:val="38"/>
        </w:numPr>
        <w:contextualSpacing/>
        <w:rPr>
          <w:rFonts w:ascii="Garamond" w:eastAsia="Arial" w:hAnsi="Garamond" w:cs="Arial"/>
          <w:lang w:eastAsia="es-ES"/>
        </w:rPr>
      </w:pPr>
      <w:r w:rsidRPr="00C04C4B">
        <w:rPr>
          <w:rFonts w:ascii="Garamond" w:eastAsia="Arial" w:hAnsi="Garamond" w:cs="Arial"/>
          <w:lang w:eastAsia="es-ES"/>
        </w:rPr>
        <w:t xml:space="preserve">Para efectos del Pliego de Condiciones, el plazo de ejecución del contrato será el indicado en el numeral “1.1 Objeto, Presupuesto Oficial, plazo y ubicación”. </w:t>
      </w:r>
    </w:p>
    <w:p w14:paraId="5B83353F" w14:textId="77777777" w:rsidR="00C04C4B" w:rsidRPr="00C04C4B" w:rsidRDefault="00C04C4B" w:rsidP="00A23238">
      <w:pPr>
        <w:pStyle w:val="Prrafodelista"/>
        <w:widowControl/>
        <w:numPr>
          <w:ilvl w:val="0"/>
          <w:numId w:val="38"/>
        </w:numPr>
        <w:contextualSpacing/>
        <w:rPr>
          <w:rFonts w:ascii="Garamond" w:eastAsiaTheme="minorEastAsia" w:hAnsi="Garamond" w:cstheme="minorBidi"/>
          <w:lang w:eastAsia="es-ES"/>
        </w:rPr>
      </w:pPr>
      <w:r w:rsidRPr="00C04C4B">
        <w:rPr>
          <w:rFonts w:ascii="Garamond" w:eastAsia="Arial" w:hAnsi="Garamond" w:cs="Arial"/>
          <w:lang w:eastAsia="es-ES"/>
        </w:rPr>
        <w:t xml:space="preserve">Si el representante legal tiene restricciones para contraer obligaciones en nombre de esta, deberá acreditar autorización suficiente del órgano social para contraer obligaciones en nombre de la sociedad o de la Entidad. </w:t>
      </w:r>
    </w:p>
    <w:p w14:paraId="539E8924" w14:textId="77777777" w:rsidR="00C04C4B" w:rsidRPr="00C04C4B" w:rsidRDefault="00C04C4B" w:rsidP="00A23238">
      <w:pPr>
        <w:pStyle w:val="Prrafodelista"/>
        <w:widowControl/>
        <w:numPr>
          <w:ilvl w:val="0"/>
          <w:numId w:val="38"/>
        </w:numPr>
        <w:contextualSpacing/>
        <w:rPr>
          <w:rFonts w:ascii="Garamond" w:eastAsia="Arial" w:hAnsi="Garamond" w:cs="Arial"/>
          <w:lang w:eastAsia="es-ES"/>
        </w:rPr>
      </w:pPr>
      <w:r w:rsidRPr="00C04C4B">
        <w:rPr>
          <w:rFonts w:ascii="Garamond" w:eastAsia="Arial" w:hAnsi="Garamond" w:cs="Arial"/>
          <w:lang w:eastAsia="es-ES"/>
        </w:rPr>
        <w:t xml:space="preserve">La ausencia definitiva de autorización suficiente o el no aporte de dicho documento una vez solicitado por la Entidad, determinará la falta de capacidad jurídica para presentar la oferta y, por tanto, su rechazo. </w:t>
      </w:r>
    </w:p>
    <w:p w14:paraId="040004BF" w14:textId="77777777" w:rsidR="00C04C4B" w:rsidRPr="00C04C4B" w:rsidRDefault="00C04C4B" w:rsidP="00A23238">
      <w:pPr>
        <w:pStyle w:val="Prrafodelista"/>
        <w:widowControl/>
        <w:numPr>
          <w:ilvl w:val="0"/>
          <w:numId w:val="38"/>
        </w:numPr>
        <w:contextualSpacing/>
        <w:rPr>
          <w:rFonts w:ascii="Garamond" w:eastAsia="Arial" w:hAnsi="Garamond" w:cs="Arial"/>
          <w:lang w:eastAsia="es-ES"/>
        </w:rPr>
      </w:pPr>
      <w:r w:rsidRPr="00C04C4B">
        <w:rPr>
          <w:rFonts w:ascii="Garamond" w:eastAsia="Arial" w:hAnsi="Garamond" w:cs="Arial"/>
          <w:lang w:eastAsia="es-ES"/>
        </w:rPr>
        <w:t>El nombramiento del revisor fiscal en caso de que esté exista.</w:t>
      </w:r>
    </w:p>
    <w:p w14:paraId="0FC2BEA0" w14:textId="77777777" w:rsidR="00C04C4B" w:rsidRPr="00C04C4B" w:rsidRDefault="00C04C4B" w:rsidP="00C04C4B">
      <w:pPr>
        <w:jc w:val="both"/>
        <w:rPr>
          <w:rFonts w:ascii="Garamond" w:eastAsia="Arial" w:hAnsi="Garamond" w:cs="Arial"/>
        </w:rPr>
      </w:pPr>
    </w:p>
    <w:p w14:paraId="3D17AC2F" w14:textId="77777777" w:rsidR="00C04C4B" w:rsidRPr="00C04C4B" w:rsidRDefault="00C04C4B" w:rsidP="00A23238">
      <w:pPr>
        <w:pStyle w:val="Capitulo1"/>
        <w:numPr>
          <w:ilvl w:val="2"/>
          <w:numId w:val="54"/>
        </w:numPr>
        <w:tabs>
          <w:tab w:val="left" w:pos="851"/>
        </w:tabs>
        <w:spacing w:line="240" w:lineRule="auto"/>
        <w:jc w:val="both"/>
        <w:rPr>
          <w:rFonts w:ascii="Garamond" w:eastAsia="Arial" w:hAnsi="Garamond"/>
          <w:color w:val="auto"/>
          <w:sz w:val="22"/>
          <w:szCs w:val="22"/>
        </w:rPr>
      </w:pPr>
      <w:bookmarkStart w:id="231" w:name="_Toc108082908"/>
      <w:bookmarkStart w:id="232" w:name="_Toc215132436"/>
      <w:r w:rsidRPr="00C04C4B">
        <w:rPr>
          <w:rFonts w:ascii="Garamond" w:eastAsia="Arial" w:hAnsi="Garamond"/>
          <w:color w:val="auto"/>
          <w:sz w:val="22"/>
          <w:szCs w:val="22"/>
        </w:rPr>
        <w:lastRenderedPageBreak/>
        <w:t>PROPONENTES PLURALES</w:t>
      </w:r>
      <w:bookmarkEnd w:id="231"/>
      <w:bookmarkEnd w:id="232"/>
      <w:r w:rsidRPr="00C04C4B">
        <w:rPr>
          <w:rFonts w:ascii="Garamond" w:eastAsia="Arial" w:hAnsi="Garamond"/>
          <w:color w:val="auto"/>
          <w:sz w:val="22"/>
          <w:szCs w:val="22"/>
        </w:rPr>
        <w:t xml:space="preserve"> </w:t>
      </w:r>
    </w:p>
    <w:p w14:paraId="5035596B" w14:textId="77777777" w:rsidR="00C04C4B" w:rsidRPr="00C04C4B" w:rsidRDefault="00C04C4B" w:rsidP="00C04C4B">
      <w:pPr>
        <w:autoSpaceDE w:val="0"/>
        <w:autoSpaceDN w:val="0"/>
        <w:adjustRightInd w:val="0"/>
        <w:spacing w:before="120" w:after="240"/>
        <w:rPr>
          <w:rFonts w:ascii="Garamond" w:eastAsia="Arial,Times New Roman" w:hAnsi="Garamond" w:cs="Arial"/>
          <w:lang w:eastAsia="es-ES"/>
        </w:rPr>
      </w:pPr>
      <w:r w:rsidRPr="00C04C4B">
        <w:rPr>
          <w:rFonts w:ascii="Garamond" w:hAnsi="Garamond" w:cs="Arial"/>
          <w:lang w:eastAsia="es-ES"/>
        </w:rPr>
        <w:t>El</w:t>
      </w:r>
      <w:r w:rsidRPr="00C04C4B">
        <w:rPr>
          <w:rFonts w:ascii="Garamond" w:eastAsia="Arial,Times New Roman" w:hAnsi="Garamond" w:cs="Arial"/>
          <w:lang w:eastAsia="es-ES"/>
        </w:rPr>
        <w:t xml:space="preserve"> </w:t>
      </w:r>
      <w:r w:rsidRPr="00C04C4B">
        <w:rPr>
          <w:rFonts w:ascii="Garamond" w:hAnsi="Garamond" w:cs="Arial"/>
          <w:lang w:eastAsia="es-ES"/>
        </w:rPr>
        <w:t>documento</w:t>
      </w:r>
      <w:r w:rsidRPr="00C04C4B">
        <w:rPr>
          <w:rFonts w:ascii="Garamond" w:eastAsia="Arial,Times New Roman" w:hAnsi="Garamond" w:cs="Arial"/>
          <w:lang w:eastAsia="es-ES"/>
        </w:rPr>
        <w:t xml:space="preserve"> </w:t>
      </w:r>
      <w:r w:rsidRPr="00C04C4B">
        <w:rPr>
          <w:rFonts w:ascii="Garamond" w:hAnsi="Garamond" w:cs="Arial"/>
          <w:lang w:eastAsia="es-ES"/>
        </w:rPr>
        <w:t>de</w:t>
      </w:r>
      <w:r w:rsidRPr="00C04C4B">
        <w:rPr>
          <w:rFonts w:ascii="Garamond" w:eastAsia="Arial,Times New Roman" w:hAnsi="Garamond" w:cs="Arial"/>
          <w:lang w:eastAsia="es-ES"/>
        </w:rPr>
        <w:t xml:space="preserve"> </w:t>
      </w:r>
      <w:r w:rsidRPr="00C04C4B">
        <w:rPr>
          <w:rFonts w:ascii="Garamond" w:hAnsi="Garamond" w:cs="Arial"/>
          <w:lang w:eastAsia="es-ES"/>
        </w:rPr>
        <w:t>conformación</w:t>
      </w:r>
      <w:r w:rsidRPr="00C04C4B">
        <w:rPr>
          <w:rFonts w:ascii="Garamond" w:eastAsia="Arial,Times New Roman" w:hAnsi="Garamond" w:cs="Arial"/>
          <w:lang w:eastAsia="es-ES"/>
        </w:rPr>
        <w:t xml:space="preserve"> </w:t>
      </w:r>
      <w:r w:rsidRPr="00C04C4B">
        <w:rPr>
          <w:rFonts w:ascii="Garamond" w:hAnsi="Garamond" w:cs="Arial"/>
          <w:lang w:eastAsia="es-ES"/>
        </w:rPr>
        <w:t>de</w:t>
      </w:r>
      <w:r w:rsidRPr="00C04C4B">
        <w:rPr>
          <w:rFonts w:ascii="Garamond" w:eastAsia="Arial,Times New Roman" w:hAnsi="Garamond" w:cs="Arial"/>
          <w:lang w:eastAsia="es-ES"/>
        </w:rPr>
        <w:t xml:space="preserve"> </w:t>
      </w:r>
      <w:r w:rsidRPr="00C04C4B">
        <w:rPr>
          <w:rFonts w:ascii="Garamond" w:hAnsi="Garamond" w:cs="Arial"/>
          <w:lang w:eastAsia="es-ES"/>
        </w:rPr>
        <w:t>Proponentes Plurales</w:t>
      </w:r>
      <w:r w:rsidRPr="00C04C4B">
        <w:rPr>
          <w:rFonts w:ascii="Garamond" w:eastAsia="Arial,Times New Roman" w:hAnsi="Garamond" w:cs="Arial"/>
          <w:lang w:eastAsia="es-ES"/>
        </w:rPr>
        <w:t xml:space="preserve"> </w:t>
      </w:r>
      <w:r w:rsidRPr="00C04C4B">
        <w:rPr>
          <w:rFonts w:ascii="Garamond" w:hAnsi="Garamond" w:cs="Arial"/>
          <w:lang w:eastAsia="es-ES"/>
        </w:rPr>
        <w:t>debe:</w:t>
      </w:r>
      <w:r w:rsidRPr="00C04C4B">
        <w:rPr>
          <w:rFonts w:ascii="Garamond" w:eastAsia="Arial,Times New Roman" w:hAnsi="Garamond" w:cs="Arial"/>
          <w:lang w:eastAsia="es-ES"/>
        </w:rPr>
        <w:t xml:space="preserve"> </w:t>
      </w:r>
    </w:p>
    <w:p w14:paraId="29B44F9D" w14:textId="77777777" w:rsidR="00C04C4B" w:rsidRPr="00C04C4B" w:rsidRDefault="00C04C4B" w:rsidP="00A23238">
      <w:pPr>
        <w:pStyle w:val="Prrafodelista"/>
        <w:widowControl/>
        <w:numPr>
          <w:ilvl w:val="0"/>
          <w:numId w:val="36"/>
        </w:numPr>
        <w:spacing w:after="160"/>
        <w:contextualSpacing/>
        <w:rPr>
          <w:rFonts w:ascii="Garamond" w:hAnsi="Garamond"/>
          <w:lang w:val="es-MX"/>
        </w:rPr>
      </w:pPr>
      <w:r w:rsidRPr="00C04C4B">
        <w:rPr>
          <w:rFonts w:ascii="Garamond" w:eastAsia="Arial" w:hAnsi="Garamond" w:cs="Arial"/>
          <w:lang w:val="es-MX"/>
        </w:rPr>
        <w:t>Acreditar la existencia del proponente plural y clasificarlo en Unión Temporal o Consorcio. En este documento los integrantes deben expresar su intención de conformar el proponente plural. En caso de que no exista claridad sobre el tipo de asociación se solicitará la aclaración. Los proponentes deben incluir como mínimo la información requerida en el Formato 2 – Conformación de Proponente Plural (Formato 2A – Consorcios) (Formato 2B – Uniones Temporales). Los proponentes podrán incluir información adicional que no contradiga lo dispuesto en los documentos del proceso.</w:t>
      </w:r>
      <w:r w:rsidRPr="00C04C4B">
        <w:rPr>
          <w:rFonts w:ascii="Garamond" w:hAnsi="Garamond"/>
          <w:lang w:val="es-MX"/>
        </w:rPr>
        <w:t xml:space="preserve"> </w:t>
      </w:r>
    </w:p>
    <w:p w14:paraId="055F098A" w14:textId="77777777" w:rsidR="00C04C4B" w:rsidRPr="00C04C4B" w:rsidRDefault="00C04C4B" w:rsidP="00C04C4B">
      <w:pPr>
        <w:ind w:left="360"/>
        <w:contextualSpacing/>
        <w:jc w:val="both"/>
        <w:rPr>
          <w:rFonts w:ascii="Garamond" w:hAnsi="Garamond" w:cs="Arial"/>
        </w:rPr>
      </w:pPr>
    </w:p>
    <w:p w14:paraId="29FD9BE5" w14:textId="77777777" w:rsidR="00C04C4B" w:rsidRPr="00C04C4B" w:rsidRDefault="00C04C4B" w:rsidP="00A23238">
      <w:pPr>
        <w:widowControl/>
        <w:numPr>
          <w:ilvl w:val="0"/>
          <w:numId w:val="36"/>
        </w:numPr>
        <w:contextualSpacing/>
        <w:jc w:val="both"/>
        <w:rPr>
          <w:rFonts w:ascii="Garamond" w:hAnsi="Garamond" w:cs="Arial"/>
        </w:rPr>
      </w:pPr>
      <w:r w:rsidRPr="00C04C4B">
        <w:rPr>
          <w:rFonts w:ascii="Garamond" w:hAnsi="Garamond" w:cs="Arial"/>
        </w:rPr>
        <w:t>Acreditar el nombramiento de un representante y un suplente, este último en caso de considerarlo conveniente, cuya designación deberá constar en el “Formato 2 – Conformación de Proponente Plural” (“Formato 2A – Documento de conformación de Consorcio”) (Formato 2B – Documento de conformación de Unión Temporal), quien representará a todas las personas naturales y/o jurídicas asociadas, con facultades suficientes para la representación sin limitaciones de cada uno de los integrantes, en todos los aspectos que se requieran para la presentación de la oferta, para la suscripción y ejecución del contrato, así como también la facultad  para firmar el acta de terminación y liquidación o cualquier otra acta o documento.</w:t>
      </w:r>
    </w:p>
    <w:p w14:paraId="015272D7" w14:textId="77777777" w:rsidR="00C04C4B" w:rsidRPr="00C04C4B" w:rsidRDefault="00C04C4B" w:rsidP="00C04C4B">
      <w:pPr>
        <w:ind w:left="708"/>
        <w:contextualSpacing/>
        <w:jc w:val="both"/>
        <w:rPr>
          <w:rFonts w:ascii="Garamond" w:hAnsi="Garamond" w:cs="Arial"/>
        </w:rPr>
      </w:pPr>
    </w:p>
    <w:p w14:paraId="530C62FE" w14:textId="77777777" w:rsidR="00C04C4B" w:rsidRPr="00C04C4B" w:rsidRDefault="00C04C4B" w:rsidP="00A23238">
      <w:pPr>
        <w:pStyle w:val="Prrafodelista"/>
        <w:widowControl/>
        <w:numPr>
          <w:ilvl w:val="0"/>
          <w:numId w:val="36"/>
        </w:numPr>
        <w:spacing w:after="200"/>
        <w:contextualSpacing/>
        <w:rPr>
          <w:rFonts w:ascii="Garamond" w:hAnsi="Garamond"/>
          <w:lang w:val="x-none" w:eastAsia="es-ES"/>
        </w:rPr>
      </w:pPr>
      <w:bookmarkStart w:id="233" w:name="_Hlk530414232"/>
      <w:r w:rsidRPr="00C04C4B">
        <w:rPr>
          <w:rFonts w:ascii="Garamond" w:eastAsiaTheme="minorEastAsia" w:hAnsi="Garamond" w:cs="Arial"/>
        </w:rPr>
        <w:t>Aportar copia del documento de identificación del representante principal y, en caso de que se haya nombrado, del suplente del Proponente Plural.</w:t>
      </w:r>
    </w:p>
    <w:p w14:paraId="1D3E8FA8" w14:textId="77777777" w:rsidR="00C04C4B" w:rsidRPr="00C04C4B" w:rsidRDefault="00C04C4B" w:rsidP="00C04C4B">
      <w:pPr>
        <w:pStyle w:val="Prrafodelista"/>
        <w:rPr>
          <w:rFonts w:ascii="Garamond" w:hAnsi="Garamond"/>
          <w:bCs/>
          <w:lang w:val="x-none" w:eastAsia="es-ES"/>
        </w:rPr>
      </w:pPr>
    </w:p>
    <w:p w14:paraId="0419D5C2" w14:textId="77777777" w:rsidR="00C04C4B" w:rsidRPr="00C04C4B" w:rsidRDefault="00C04C4B" w:rsidP="00A23238">
      <w:pPr>
        <w:widowControl/>
        <w:numPr>
          <w:ilvl w:val="0"/>
          <w:numId w:val="36"/>
        </w:numPr>
        <w:jc w:val="both"/>
        <w:rPr>
          <w:rFonts w:ascii="Garamond" w:hAnsi="Garamond"/>
          <w:lang w:val="es-MX"/>
        </w:rPr>
      </w:pPr>
      <w:r w:rsidRPr="00C04C4B">
        <w:rPr>
          <w:rFonts w:ascii="Garamond" w:hAnsi="Garamond" w:cs="Arial"/>
          <w:lang w:eastAsia="es-ES"/>
        </w:rPr>
        <w:t xml:space="preserve">Acreditar que la vigencia de la estructura plural no sea inferior a la del plazo del contrato y un (1) año adicional. Para efectos de la evaluación, este plazo será contado a partir de la fecha del cierre del Proceso de Contratación. </w:t>
      </w:r>
    </w:p>
    <w:p w14:paraId="6E2A3004" w14:textId="77777777" w:rsidR="00C04C4B" w:rsidRPr="00C04C4B" w:rsidRDefault="00C04C4B" w:rsidP="00A23238">
      <w:pPr>
        <w:widowControl/>
        <w:numPr>
          <w:ilvl w:val="0"/>
          <w:numId w:val="36"/>
        </w:numPr>
        <w:contextualSpacing/>
        <w:jc w:val="both"/>
        <w:rPr>
          <w:rFonts w:ascii="Garamond" w:hAnsi="Garamond" w:cs="Arial"/>
        </w:rPr>
      </w:pPr>
      <w:r w:rsidRPr="00C04C4B">
        <w:rPr>
          <w:rFonts w:ascii="Garamond" w:hAnsi="Garamond" w:cs="Arial"/>
          <w:lang w:eastAsia="es-ES"/>
        </w:rPr>
        <w:t>El</w:t>
      </w:r>
      <w:r w:rsidRPr="00C04C4B">
        <w:rPr>
          <w:rFonts w:ascii="Garamond" w:eastAsia="Arial,Times New Roman" w:hAnsi="Garamond" w:cs="Arial"/>
          <w:lang w:eastAsia="es-ES"/>
        </w:rPr>
        <w:t xml:space="preserve"> </w:t>
      </w:r>
      <w:r w:rsidRPr="00C04C4B">
        <w:rPr>
          <w:rFonts w:ascii="Garamond" w:hAnsi="Garamond" w:cs="Arial"/>
          <w:lang w:eastAsia="es-ES"/>
        </w:rPr>
        <w:t>Proponente</w:t>
      </w:r>
      <w:r w:rsidRPr="00C04C4B">
        <w:rPr>
          <w:rFonts w:ascii="Garamond" w:eastAsia="Arial,Times New Roman" w:hAnsi="Garamond" w:cs="Arial"/>
          <w:lang w:eastAsia="es-ES"/>
        </w:rPr>
        <w:t xml:space="preserve"> </w:t>
      </w:r>
      <w:r w:rsidRPr="00C04C4B">
        <w:rPr>
          <w:rFonts w:ascii="Garamond" w:hAnsi="Garamond" w:cs="Arial"/>
          <w:lang w:eastAsia="es-ES"/>
        </w:rPr>
        <w:t>Plural</w:t>
      </w:r>
      <w:r w:rsidRPr="00C04C4B">
        <w:rPr>
          <w:rFonts w:ascii="Garamond" w:eastAsia="Arial,Times New Roman" w:hAnsi="Garamond" w:cs="Arial"/>
          <w:lang w:eastAsia="es-ES"/>
        </w:rPr>
        <w:t xml:space="preserve"> </w:t>
      </w:r>
      <w:r w:rsidRPr="00C04C4B">
        <w:rPr>
          <w:rFonts w:ascii="Garamond" w:hAnsi="Garamond" w:cs="Arial"/>
          <w:lang w:eastAsia="es-ES"/>
        </w:rPr>
        <w:t>debe</w:t>
      </w:r>
      <w:r w:rsidRPr="00C04C4B">
        <w:rPr>
          <w:rFonts w:ascii="Garamond" w:eastAsia="Arial,Times New Roman" w:hAnsi="Garamond" w:cs="Arial"/>
          <w:lang w:eastAsia="es-ES"/>
        </w:rPr>
        <w:t xml:space="preserve"> </w:t>
      </w:r>
      <w:r w:rsidRPr="00C04C4B">
        <w:rPr>
          <w:rFonts w:ascii="Garamond" w:hAnsi="Garamond" w:cs="Arial"/>
          <w:lang w:eastAsia="es-ES"/>
        </w:rPr>
        <w:t>señalar</w:t>
      </w:r>
      <w:r w:rsidRPr="00C04C4B">
        <w:rPr>
          <w:rFonts w:ascii="Garamond" w:eastAsia="Arial,Times New Roman" w:hAnsi="Garamond" w:cs="Arial"/>
          <w:lang w:eastAsia="es-ES"/>
        </w:rPr>
        <w:t xml:space="preserve"> </w:t>
      </w:r>
      <w:r w:rsidRPr="00C04C4B">
        <w:rPr>
          <w:rFonts w:ascii="Garamond" w:hAnsi="Garamond" w:cs="Arial"/>
          <w:lang w:eastAsia="es-ES"/>
        </w:rPr>
        <w:t>expresamente</w:t>
      </w:r>
      <w:r w:rsidRPr="00C04C4B">
        <w:rPr>
          <w:rFonts w:ascii="Garamond" w:eastAsia="Arial,Times New Roman" w:hAnsi="Garamond" w:cs="Arial"/>
          <w:lang w:eastAsia="es-ES"/>
        </w:rPr>
        <w:t xml:space="preserve"> </w:t>
      </w:r>
      <w:r w:rsidRPr="00C04C4B">
        <w:rPr>
          <w:rFonts w:ascii="Garamond" w:hAnsi="Garamond" w:cs="Arial"/>
          <w:lang w:eastAsia="es-ES"/>
        </w:rPr>
        <w:t>cuál</w:t>
      </w:r>
      <w:r w:rsidRPr="00C04C4B">
        <w:rPr>
          <w:rFonts w:ascii="Garamond" w:eastAsia="Arial,Times New Roman" w:hAnsi="Garamond" w:cs="Arial"/>
          <w:lang w:eastAsia="es-ES"/>
        </w:rPr>
        <w:t xml:space="preserve"> </w:t>
      </w:r>
      <w:r w:rsidRPr="00C04C4B">
        <w:rPr>
          <w:rFonts w:ascii="Garamond" w:hAnsi="Garamond" w:cs="Arial"/>
          <w:lang w:eastAsia="es-ES"/>
        </w:rPr>
        <w:t>es</w:t>
      </w:r>
      <w:r w:rsidRPr="00C04C4B">
        <w:rPr>
          <w:rFonts w:ascii="Garamond" w:eastAsia="Arial,Times New Roman" w:hAnsi="Garamond" w:cs="Arial"/>
          <w:lang w:eastAsia="es-ES"/>
        </w:rPr>
        <w:t xml:space="preserve"> </w:t>
      </w:r>
      <w:r w:rsidRPr="00C04C4B">
        <w:rPr>
          <w:rFonts w:ascii="Garamond" w:hAnsi="Garamond" w:cs="Arial"/>
          <w:lang w:eastAsia="es-ES"/>
        </w:rPr>
        <w:t>el</w:t>
      </w:r>
      <w:r w:rsidRPr="00C04C4B">
        <w:rPr>
          <w:rFonts w:ascii="Garamond" w:eastAsia="Arial,Times New Roman" w:hAnsi="Garamond" w:cs="Arial"/>
          <w:lang w:eastAsia="es-ES"/>
        </w:rPr>
        <w:t xml:space="preserve"> </w:t>
      </w:r>
      <w:r w:rsidRPr="00C04C4B">
        <w:rPr>
          <w:rFonts w:ascii="Garamond" w:hAnsi="Garamond" w:cs="Arial"/>
          <w:lang w:eastAsia="es-ES"/>
        </w:rPr>
        <w:t>porcentaje</w:t>
      </w:r>
      <w:r w:rsidRPr="00C04C4B">
        <w:rPr>
          <w:rFonts w:ascii="Garamond" w:eastAsia="Arial,Times New Roman" w:hAnsi="Garamond" w:cs="Arial"/>
          <w:lang w:eastAsia="es-ES"/>
        </w:rPr>
        <w:t xml:space="preserve"> </w:t>
      </w:r>
      <w:r w:rsidRPr="00C04C4B">
        <w:rPr>
          <w:rFonts w:ascii="Garamond" w:hAnsi="Garamond" w:cs="Arial"/>
          <w:lang w:eastAsia="es-ES"/>
        </w:rPr>
        <w:t>de</w:t>
      </w:r>
      <w:r w:rsidRPr="00C04C4B">
        <w:rPr>
          <w:rFonts w:ascii="Garamond" w:eastAsia="Arial,Times New Roman" w:hAnsi="Garamond" w:cs="Arial"/>
          <w:lang w:eastAsia="es-ES"/>
        </w:rPr>
        <w:t xml:space="preserve"> </w:t>
      </w:r>
      <w:r w:rsidRPr="00C04C4B">
        <w:rPr>
          <w:rFonts w:ascii="Garamond" w:hAnsi="Garamond" w:cs="Arial"/>
          <w:lang w:eastAsia="es-ES"/>
        </w:rPr>
        <w:t>participación</w:t>
      </w:r>
      <w:r w:rsidRPr="00C04C4B">
        <w:rPr>
          <w:rFonts w:ascii="Garamond" w:eastAsia="Arial,Times New Roman" w:hAnsi="Garamond" w:cs="Arial"/>
          <w:lang w:eastAsia="es-ES"/>
        </w:rPr>
        <w:t xml:space="preserve"> </w:t>
      </w:r>
      <w:r w:rsidRPr="00C04C4B">
        <w:rPr>
          <w:rFonts w:ascii="Garamond" w:hAnsi="Garamond" w:cs="Arial"/>
          <w:lang w:eastAsia="es-ES"/>
        </w:rPr>
        <w:t>de</w:t>
      </w:r>
      <w:r w:rsidRPr="00C04C4B">
        <w:rPr>
          <w:rFonts w:ascii="Garamond" w:eastAsia="Arial,Times New Roman" w:hAnsi="Garamond" w:cs="Arial"/>
          <w:lang w:eastAsia="es-ES"/>
        </w:rPr>
        <w:t xml:space="preserve"> </w:t>
      </w:r>
      <w:r w:rsidRPr="00C04C4B">
        <w:rPr>
          <w:rFonts w:ascii="Garamond" w:hAnsi="Garamond" w:cs="Arial"/>
          <w:lang w:eastAsia="es-ES"/>
        </w:rPr>
        <w:t>cada</w:t>
      </w:r>
      <w:r w:rsidRPr="00C04C4B">
        <w:rPr>
          <w:rFonts w:ascii="Garamond" w:eastAsia="Arial,Times New Roman" w:hAnsi="Garamond" w:cs="Arial"/>
          <w:lang w:eastAsia="es-ES"/>
        </w:rPr>
        <w:t xml:space="preserve"> </w:t>
      </w:r>
      <w:r w:rsidRPr="00C04C4B">
        <w:rPr>
          <w:rFonts w:ascii="Garamond" w:hAnsi="Garamond" w:cs="Arial"/>
          <w:lang w:eastAsia="es-ES"/>
        </w:rPr>
        <w:t>uno</w:t>
      </w:r>
      <w:r w:rsidRPr="00C04C4B">
        <w:rPr>
          <w:rFonts w:ascii="Garamond" w:eastAsia="Arial,Times New Roman" w:hAnsi="Garamond" w:cs="Arial"/>
          <w:lang w:eastAsia="es-ES"/>
        </w:rPr>
        <w:t xml:space="preserve"> </w:t>
      </w:r>
      <w:r w:rsidRPr="00C04C4B">
        <w:rPr>
          <w:rFonts w:ascii="Garamond" w:hAnsi="Garamond" w:cs="Arial"/>
          <w:lang w:eastAsia="es-ES"/>
        </w:rPr>
        <w:t>de</w:t>
      </w:r>
      <w:r w:rsidRPr="00C04C4B">
        <w:rPr>
          <w:rFonts w:ascii="Garamond" w:eastAsia="Arial,Times New Roman" w:hAnsi="Garamond" w:cs="Arial"/>
          <w:lang w:eastAsia="es-ES"/>
        </w:rPr>
        <w:t xml:space="preserve"> </w:t>
      </w:r>
      <w:r w:rsidRPr="00C04C4B">
        <w:rPr>
          <w:rFonts w:ascii="Garamond" w:hAnsi="Garamond" w:cs="Arial"/>
          <w:lang w:eastAsia="es-ES"/>
        </w:rPr>
        <w:t xml:space="preserve">sus </w:t>
      </w:r>
      <w:r w:rsidRPr="00C04C4B">
        <w:rPr>
          <w:rFonts w:ascii="Garamond" w:eastAsia="Arial,Times New Roman" w:hAnsi="Garamond" w:cs="Arial"/>
          <w:lang w:eastAsia="es-ES"/>
        </w:rPr>
        <w:t>miembros</w:t>
      </w:r>
      <w:r w:rsidRPr="00C04C4B">
        <w:rPr>
          <w:rFonts w:ascii="Garamond" w:hAnsi="Garamond" w:cs="Arial"/>
          <w:lang w:eastAsia="es-ES"/>
        </w:rPr>
        <w:t>.</w:t>
      </w:r>
      <w:r w:rsidRPr="00C04C4B">
        <w:rPr>
          <w:rFonts w:ascii="Garamond" w:eastAsia="Arial,Times New Roman" w:hAnsi="Garamond" w:cs="Arial"/>
          <w:lang w:eastAsia="es-ES"/>
        </w:rPr>
        <w:t xml:space="preserve"> </w:t>
      </w:r>
      <w:r w:rsidRPr="00C04C4B">
        <w:rPr>
          <w:rFonts w:ascii="Garamond" w:hAnsi="Garamond" w:cs="Arial"/>
        </w:rPr>
        <w:t>La sumatoria del porcentaje no podrá ser diferente al cien por ciento (100 %)</w:t>
      </w:r>
      <w:r w:rsidRPr="00C04C4B">
        <w:rPr>
          <w:rFonts w:ascii="Garamond" w:eastAsia="Arial,Times New Roman" w:hAnsi="Garamond" w:cs="Arial"/>
          <w:lang w:eastAsia="es-ES"/>
        </w:rPr>
        <w:t>.</w:t>
      </w:r>
    </w:p>
    <w:p w14:paraId="638100AA" w14:textId="77777777" w:rsidR="00C04C4B" w:rsidRPr="00C04C4B" w:rsidRDefault="00C04C4B" w:rsidP="00C04C4B">
      <w:pPr>
        <w:ind w:left="720"/>
        <w:contextualSpacing/>
        <w:jc w:val="both"/>
        <w:rPr>
          <w:rFonts w:ascii="Garamond" w:hAnsi="Garamond" w:cs="Arial"/>
          <w:bCs/>
          <w:lang w:val="x-none" w:eastAsia="es-ES"/>
        </w:rPr>
      </w:pPr>
    </w:p>
    <w:p w14:paraId="6703534C" w14:textId="77777777" w:rsidR="00C04C4B" w:rsidRPr="00C04C4B" w:rsidRDefault="00C04C4B" w:rsidP="00A23238">
      <w:pPr>
        <w:pStyle w:val="Prrafodelista"/>
        <w:widowControl/>
        <w:numPr>
          <w:ilvl w:val="0"/>
          <w:numId w:val="36"/>
        </w:numPr>
        <w:spacing w:after="200"/>
        <w:contextualSpacing/>
        <w:rPr>
          <w:rFonts w:ascii="Garamond" w:hAnsi="Garamond"/>
          <w:b/>
          <w:u w:val="single"/>
        </w:rPr>
      </w:pPr>
      <w:r w:rsidRPr="00C04C4B">
        <w:rPr>
          <w:rFonts w:ascii="Garamond" w:hAnsi="Garamond" w:cs="Arial"/>
          <w:lang w:eastAsia="es-ES"/>
        </w:rPr>
        <w:t>E</w:t>
      </w:r>
      <w:r w:rsidRPr="00C04C4B">
        <w:rPr>
          <w:rFonts w:ascii="Garamond" w:hAnsi="Garamond" w:cs="Arial"/>
        </w:rPr>
        <w:t xml:space="preserve">n la etapa contractual no podrán modificarse los porcentajes de participación sin el consentimiento previo </w:t>
      </w:r>
      <w:r w:rsidRPr="00C04C4B">
        <w:rPr>
          <w:rFonts w:ascii="Garamond" w:hAnsi="Garamond" w:cs="Arial"/>
          <w:lang w:eastAsia="es-ES"/>
        </w:rPr>
        <w:t>de</w:t>
      </w:r>
      <w:r w:rsidRPr="00C04C4B">
        <w:rPr>
          <w:rFonts w:ascii="Garamond" w:hAnsi="Garamond" w:cs="Arial"/>
        </w:rPr>
        <w:t xml:space="preserve"> </w:t>
      </w:r>
      <w:r w:rsidRPr="00C04C4B">
        <w:rPr>
          <w:rFonts w:ascii="Garamond" w:hAnsi="Garamond" w:cs="Arial"/>
          <w:lang w:eastAsia="es-ES"/>
        </w:rPr>
        <w:t>la</w:t>
      </w:r>
      <w:r w:rsidRPr="00C04C4B">
        <w:rPr>
          <w:rFonts w:ascii="Garamond" w:hAnsi="Garamond" w:cs="Arial"/>
        </w:rPr>
        <w:t xml:space="preserve"> </w:t>
      </w:r>
      <w:r w:rsidRPr="00C04C4B">
        <w:rPr>
          <w:rFonts w:ascii="Garamond" w:hAnsi="Garamond" w:cs="Arial"/>
          <w:lang w:eastAsia="es-ES"/>
        </w:rPr>
        <w:t>Entidad</w:t>
      </w:r>
      <w:r w:rsidRPr="00C04C4B">
        <w:rPr>
          <w:rFonts w:ascii="Garamond" w:hAnsi="Garamond" w:cs="Arial"/>
        </w:rPr>
        <w:t>.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w:t>
      </w:r>
    </w:p>
    <w:p w14:paraId="4F367D71" w14:textId="77777777" w:rsidR="00C04C4B" w:rsidRPr="00C04C4B" w:rsidRDefault="00C04C4B" w:rsidP="00C04C4B">
      <w:pPr>
        <w:autoSpaceDE w:val="0"/>
        <w:autoSpaceDN w:val="0"/>
        <w:adjustRightInd w:val="0"/>
        <w:spacing w:before="120" w:after="240"/>
        <w:contextualSpacing/>
        <w:jc w:val="both"/>
        <w:rPr>
          <w:rFonts w:ascii="Garamond" w:eastAsia="Arial,Times New Roman" w:hAnsi="Garamond" w:cs="Arial"/>
          <w:lang w:val="es-ES" w:eastAsia="es-ES"/>
        </w:rPr>
      </w:pPr>
      <w:bookmarkStart w:id="234" w:name="_Hlk530414282"/>
      <w:bookmarkEnd w:id="233"/>
    </w:p>
    <w:p w14:paraId="787724C6" w14:textId="4E20057F" w:rsidR="00C04C4B" w:rsidRPr="00C04C4B" w:rsidRDefault="00C04C4B" w:rsidP="00C04C4B">
      <w:pPr>
        <w:spacing w:before="100" w:beforeAutospacing="1" w:after="100" w:afterAutospacing="1" w:line="276" w:lineRule="auto"/>
        <w:jc w:val="both"/>
        <w:rPr>
          <w:rFonts w:ascii="Garamond" w:hAnsi="Garamond" w:cs="Arial"/>
          <w:lang w:val="es-ES" w:eastAsia="es-ES"/>
        </w:rPr>
      </w:pPr>
      <w:r w:rsidRPr="006047AE">
        <w:rPr>
          <w:rFonts w:ascii="Garamond" w:hAnsi="Garamond" w:cs="Arial"/>
          <w:lang w:val="es-ES" w:eastAsia="es-ES"/>
        </w:rPr>
        <w:t>[</w:t>
      </w:r>
      <w:r w:rsidRPr="006047AE">
        <w:rPr>
          <w:rFonts w:ascii="Garamond" w:hAnsi="Garamond" w:cs="Arial"/>
          <w:b/>
          <w:bCs/>
          <w:lang w:val="es-ES" w:eastAsia="es-ES"/>
        </w:rPr>
        <w:t>Nota 5</w:t>
      </w:r>
      <w:r w:rsidRPr="006047AE">
        <w:rPr>
          <w:rFonts w:ascii="Garamond" w:hAnsi="Garamond" w:cs="Arial"/>
          <w:lang w:val="es-ES" w:eastAsia="es-ES"/>
        </w:rPr>
        <w:t xml:space="preserve">: El Proponente Plural deberá tener en cuenta la "Guía rápida para la creación de proponentes plurales en el </w:t>
      </w:r>
      <w:proofErr w:type="spellStart"/>
      <w:r w:rsidRPr="006047AE">
        <w:rPr>
          <w:rFonts w:ascii="Garamond" w:hAnsi="Garamond" w:cs="Arial"/>
          <w:lang w:val="es-ES" w:eastAsia="es-ES"/>
        </w:rPr>
        <w:t>SECOP</w:t>
      </w:r>
      <w:proofErr w:type="spellEnd"/>
      <w:r w:rsidRPr="006047AE">
        <w:rPr>
          <w:rFonts w:ascii="Garamond" w:hAnsi="Garamond" w:cs="Arial"/>
          <w:lang w:val="es-ES" w:eastAsia="es-ES"/>
        </w:rPr>
        <w:t xml:space="preserve"> II", expedida por la Agencia Nacional de Contratación Pública - Colombia Compra Eficiente. El Proponente Plural debe estar registrado en el </w:t>
      </w:r>
      <w:proofErr w:type="spellStart"/>
      <w:r w:rsidRPr="006047AE">
        <w:rPr>
          <w:rFonts w:ascii="Garamond" w:hAnsi="Garamond" w:cs="Arial"/>
          <w:lang w:val="es-ES" w:eastAsia="es-ES"/>
        </w:rPr>
        <w:t>SECOP</w:t>
      </w:r>
      <w:proofErr w:type="spellEnd"/>
      <w:r w:rsidRPr="006047AE">
        <w:rPr>
          <w:rFonts w:ascii="Garamond" w:hAnsi="Garamond" w:cs="Arial"/>
          <w:lang w:val="es-ES" w:eastAsia="es-ES"/>
        </w:rPr>
        <w:t xml:space="preserve"> II, por tanto, la Entidad rechazará la oferta que se presente desde una cuenta diferente.</w:t>
      </w:r>
    </w:p>
    <w:p w14:paraId="0DCAC023" w14:textId="73437376" w:rsidR="00C04C4B" w:rsidRPr="00C04C4B" w:rsidRDefault="00C04C4B" w:rsidP="00A23238">
      <w:pPr>
        <w:pStyle w:val="Capitulo1"/>
        <w:numPr>
          <w:ilvl w:val="1"/>
          <w:numId w:val="54"/>
        </w:numPr>
        <w:tabs>
          <w:tab w:val="left" w:pos="851"/>
        </w:tabs>
        <w:spacing w:line="240" w:lineRule="auto"/>
        <w:jc w:val="both"/>
        <w:rPr>
          <w:rFonts w:ascii="Garamond" w:eastAsia="Arial" w:hAnsi="Garamond"/>
          <w:color w:val="auto"/>
          <w:sz w:val="22"/>
          <w:szCs w:val="22"/>
        </w:rPr>
      </w:pPr>
      <w:bookmarkStart w:id="235" w:name="_Toc35616251"/>
      <w:bookmarkStart w:id="236" w:name="_Toc35616578"/>
      <w:bookmarkStart w:id="237" w:name="_Toc508648270"/>
      <w:bookmarkStart w:id="238" w:name="_Toc508984054"/>
      <w:bookmarkStart w:id="239" w:name="_Toc509843885"/>
      <w:bookmarkStart w:id="240" w:name="_Toc511924792"/>
      <w:bookmarkStart w:id="241" w:name="_Toc520226881"/>
      <w:bookmarkStart w:id="242" w:name="_Toc520297851"/>
      <w:bookmarkStart w:id="243" w:name="_Toc520317116"/>
      <w:bookmarkStart w:id="244" w:name="_Toc533083719"/>
      <w:bookmarkStart w:id="245" w:name="_Toc35616252"/>
      <w:bookmarkStart w:id="246" w:name="_Toc40113345"/>
      <w:bookmarkStart w:id="247" w:name="_Toc108082909"/>
      <w:bookmarkStart w:id="248" w:name="_Toc215132437"/>
      <w:bookmarkStart w:id="249" w:name="_Hlk530414304"/>
      <w:bookmarkStart w:id="250" w:name="_Hlk511410135"/>
      <w:bookmarkEnd w:id="234"/>
      <w:bookmarkEnd w:id="235"/>
      <w:bookmarkEnd w:id="236"/>
      <w:r w:rsidRPr="00C04C4B">
        <w:rPr>
          <w:rFonts w:ascii="Garamond" w:eastAsia="Arial" w:hAnsi="Garamond"/>
          <w:color w:val="auto"/>
          <w:sz w:val="22"/>
          <w:szCs w:val="22"/>
        </w:rPr>
        <w:lastRenderedPageBreak/>
        <w:t>CERTIFICACIÓN DE PAGOS DE SEGURIDAD SOCIAL Y APORTES LEGALES</w:t>
      </w:r>
      <w:bookmarkEnd w:id="237"/>
      <w:bookmarkEnd w:id="238"/>
      <w:bookmarkEnd w:id="239"/>
      <w:bookmarkEnd w:id="240"/>
      <w:bookmarkEnd w:id="241"/>
      <w:bookmarkEnd w:id="242"/>
      <w:bookmarkEnd w:id="243"/>
      <w:bookmarkEnd w:id="244"/>
      <w:bookmarkEnd w:id="245"/>
      <w:bookmarkEnd w:id="246"/>
      <w:bookmarkEnd w:id="247"/>
      <w:bookmarkEnd w:id="248"/>
    </w:p>
    <w:p w14:paraId="3639AA19" w14:textId="7F2B505C" w:rsidR="00C04C4B" w:rsidRPr="00C04C4B" w:rsidRDefault="00C04C4B" w:rsidP="00A23238">
      <w:pPr>
        <w:pStyle w:val="Capitulo1"/>
        <w:numPr>
          <w:ilvl w:val="2"/>
          <w:numId w:val="54"/>
        </w:numPr>
        <w:tabs>
          <w:tab w:val="left" w:pos="851"/>
        </w:tabs>
        <w:spacing w:line="240" w:lineRule="auto"/>
        <w:jc w:val="both"/>
        <w:rPr>
          <w:rFonts w:ascii="Garamond" w:eastAsia="Arial" w:hAnsi="Garamond"/>
          <w:color w:val="auto"/>
          <w:sz w:val="22"/>
          <w:szCs w:val="22"/>
        </w:rPr>
      </w:pPr>
      <w:bookmarkStart w:id="251" w:name="_Toc35616253"/>
      <w:bookmarkStart w:id="252" w:name="_Toc40113346"/>
      <w:bookmarkStart w:id="253" w:name="_Toc108082910"/>
      <w:bookmarkStart w:id="254" w:name="_Toc215132438"/>
      <w:bookmarkStart w:id="255" w:name="_Hlk530414327"/>
      <w:bookmarkEnd w:id="249"/>
      <w:r w:rsidRPr="00C04C4B">
        <w:rPr>
          <w:rFonts w:ascii="Garamond" w:eastAsia="Arial" w:hAnsi="Garamond"/>
          <w:color w:val="auto"/>
          <w:sz w:val="22"/>
          <w:szCs w:val="22"/>
        </w:rPr>
        <w:t>PERSONAS JURÍDICAS</w:t>
      </w:r>
      <w:bookmarkEnd w:id="251"/>
      <w:bookmarkEnd w:id="252"/>
      <w:bookmarkEnd w:id="253"/>
      <w:bookmarkEnd w:id="254"/>
    </w:p>
    <w:p w14:paraId="5D3F6170" w14:textId="77777777" w:rsidR="00C04C4B" w:rsidRPr="00C04C4B" w:rsidRDefault="00C04C4B" w:rsidP="00C04C4B">
      <w:pPr>
        <w:jc w:val="both"/>
        <w:rPr>
          <w:rFonts w:ascii="Garamond" w:eastAsia="Arial,Times New Roman" w:hAnsi="Garamond" w:cs="Arial"/>
          <w:lang w:val="es-ES" w:eastAsia="es-ES"/>
        </w:rPr>
      </w:pPr>
      <w:bookmarkStart w:id="256" w:name="_Hlk516152939"/>
      <w:bookmarkEnd w:id="255"/>
      <w:r w:rsidRPr="00C04C4B">
        <w:rPr>
          <w:rFonts w:ascii="Garamond" w:hAnsi="Garamond" w:cs="Arial"/>
          <w:lang w:val="es-ES" w:eastAsia="es-ES"/>
        </w:rPr>
        <w:t>El Proponente</w:t>
      </w:r>
      <w:r w:rsidRPr="00C04C4B">
        <w:rPr>
          <w:rFonts w:ascii="Garamond" w:eastAsia="Arial,Times New Roman" w:hAnsi="Garamond" w:cs="Arial"/>
          <w:lang w:val="es-ES" w:eastAsia="es-ES"/>
        </w:rPr>
        <w:t xml:space="preserve"> </w:t>
      </w:r>
      <w:r w:rsidRPr="00C04C4B">
        <w:rPr>
          <w:rFonts w:ascii="Garamond" w:hAnsi="Garamond" w:cs="Arial"/>
          <w:lang w:val="es-ES" w:eastAsia="es-ES"/>
        </w:rPr>
        <w:t>persona</w:t>
      </w:r>
      <w:r w:rsidRPr="00C04C4B">
        <w:rPr>
          <w:rFonts w:ascii="Garamond" w:eastAsia="Arial,Times New Roman" w:hAnsi="Garamond" w:cs="Arial"/>
          <w:lang w:val="es-ES" w:eastAsia="es-ES"/>
        </w:rPr>
        <w:t xml:space="preserve"> </w:t>
      </w:r>
      <w:r w:rsidRPr="00C04C4B">
        <w:rPr>
          <w:rFonts w:ascii="Garamond" w:hAnsi="Garamond" w:cs="Arial"/>
          <w:lang w:val="es-ES" w:eastAsia="es-ES"/>
        </w:rPr>
        <w:t>jurídica</w:t>
      </w:r>
      <w:r w:rsidRPr="00C04C4B">
        <w:rPr>
          <w:rFonts w:ascii="Garamond" w:eastAsia="Arial,Times New Roman" w:hAnsi="Garamond" w:cs="Arial"/>
          <w:lang w:val="es-ES" w:eastAsia="es-ES"/>
        </w:rPr>
        <w:t xml:space="preserve"> </w:t>
      </w:r>
      <w:r w:rsidRPr="00C04C4B">
        <w:rPr>
          <w:rFonts w:ascii="Garamond" w:hAnsi="Garamond" w:cs="Arial"/>
          <w:lang w:val="es-ES" w:eastAsia="es-ES"/>
        </w:rPr>
        <w:t>debe</w:t>
      </w:r>
      <w:r w:rsidRPr="00C04C4B">
        <w:rPr>
          <w:rFonts w:ascii="Garamond" w:eastAsia="Arial,Times New Roman" w:hAnsi="Garamond" w:cs="Arial"/>
          <w:lang w:val="es-ES" w:eastAsia="es-ES"/>
        </w:rPr>
        <w:t xml:space="preserve"> </w:t>
      </w:r>
      <w:r w:rsidRPr="00C04C4B">
        <w:rPr>
          <w:rFonts w:ascii="Garamond" w:hAnsi="Garamond" w:cs="Arial"/>
          <w:lang w:val="es-ES" w:eastAsia="es-ES"/>
        </w:rPr>
        <w:t>presentar el “Formato 5 – Pagos al Sistema de Seguridad Social y Aportes Legales”</w:t>
      </w:r>
      <w:r w:rsidRPr="00C04C4B">
        <w:rPr>
          <w:rFonts w:ascii="Garamond" w:eastAsia="Arial,Times New Roman" w:hAnsi="Garamond" w:cs="Arial"/>
          <w:lang w:val="es-ES" w:eastAsia="es-ES"/>
        </w:rPr>
        <w:t xml:space="preserve"> </w:t>
      </w:r>
      <w:r w:rsidRPr="00C04C4B">
        <w:rPr>
          <w:rFonts w:ascii="Garamond" w:hAnsi="Garamond" w:cs="Arial"/>
          <w:lang w:val="es-ES" w:eastAsia="es-ES"/>
        </w:rPr>
        <w:t>suscrito por</w:t>
      </w:r>
      <w:r w:rsidRPr="00C04C4B">
        <w:rPr>
          <w:rFonts w:ascii="Garamond" w:eastAsia="Arial,Times New Roman" w:hAnsi="Garamond" w:cs="Arial"/>
          <w:lang w:val="es-ES" w:eastAsia="es-ES"/>
        </w:rPr>
        <w:t xml:space="preserve"> </w:t>
      </w:r>
      <w:r w:rsidRPr="00C04C4B">
        <w:rPr>
          <w:rFonts w:ascii="Garamond" w:hAnsi="Garamond" w:cs="Arial"/>
          <w:lang w:val="es-ES" w:eastAsia="es-ES"/>
        </w:rPr>
        <w:t>el</w:t>
      </w:r>
      <w:r w:rsidRPr="00C04C4B">
        <w:rPr>
          <w:rFonts w:ascii="Garamond" w:eastAsia="Arial,Times New Roman" w:hAnsi="Garamond" w:cs="Arial"/>
          <w:lang w:val="es-ES" w:eastAsia="es-ES"/>
        </w:rPr>
        <w:t xml:space="preserve"> </w:t>
      </w:r>
      <w:r w:rsidRPr="00C04C4B">
        <w:rPr>
          <w:rFonts w:ascii="Garamond" w:hAnsi="Garamond" w:cs="Arial"/>
          <w:lang w:val="es-ES" w:eastAsia="es-ES"/>
        </w:rPr>
        <w:t>revisor fiscal</w:t>
      </w:r>
      <w:r w:rsidRPr="00C04C4B">
        <w:rPr>
          <w:rFonts w:ascii="Garamond" w:eastAsia="Arial,Times New Roman" w:hAnsi="Garamond" w:cs="Arial"/>
          <w:lang w:val="es-ES" w:eastAsia="es-ES"/>
        </w:rPr>
        <w:t xml:space="preserve">, </w:t>
      </w:r>
      <w:r w:rsidRPr="00C04C4B">
        <w:rPr>
          <w:rFonts w:ascii="Garamond" w:hAnsi="Garamond" w:cs="Arial"/>
          <w:lang w:val="es-ES" w:eastAsia="es-ES"/>
        </w:rPr>
        <w:t>de</w:t>
      </w:r>
      <w:r w:rsidRPr="00C04C4B">
        <w:rPr>
          <w:rFonts w:ascii="Garamond" w:eastAsia="Arial,Times New Roman" w:hAnsi="Garamond" w:cs="Arial"/>
          <w:lang w:val="es-ES" w:eastAsia="es-ES"/>
        </w:rPr>
        <w:t xml:space="preserve"> </w:t>
      </w:r>
      <w:r w:rsidRPr="00C04C4B">
        <w:rPr>
          <w:rFonts w:ascii="Garamond" w:hAnsi="Garamond" w:cs="Arial"/>
          <w:lang w:val="es-ES" w:eastAsia="es-ES"/>
        </w:rPr>
        <w:t>acuerdo</w:t>
      </w:r>
      <w:r w:rsidRPr="00C04C4B">
        <w:rPr>
          <w:rFonts w:ascii="Garamond" w:eastAsia="Arial,Times New Roman" w:hAnsi="Garamond" w:cs="Arial"/>
          <w:lang w:val="es-ES" w:eastAsia="es-ES"/>
        </w:rPr>
        <w:t xml:space="preserve"> </w:t>
      </w:r>
      <w:r w:rsidRPr="00C04C4B">
        <w:rPr>
          <w:rFonts w:ascii="Garamond" w:hAnsi="Garamond" w:cs="Arial"/>
          <w:lang w:val="es-ES" w:eastAsia="es-ES"/>
        </w:rPr>
        <w:t>con</w:t>
      </w:r>
      <w:r w:rsidRPr="00C04C4B">
        <w:rPr>
          <w:rFonts w:ascii="Garamond" w:eastAsia="Arial,Times New Roman" w:hAnsi="Garamond" w:cs="Arial"/>
          <w:lang w:val="es-ES" w:eastAsia="es-ES"/>
        </w:rPr>
        <w:t xml:space="preserve"> </w:t>
      </w:r>
      <w:r w:rsidRPr="00C04C4B">
        <w:rPr>
          <w:rFonts w:ascii="Garamond" w:hAnsi="Garamond" w:cs="Arial"/>
          <w:lang w:val="es-ES" w:eastAsia="es-ES"/>
        </w:rPr>
        <w:t>los</w:t>
      </w:r>
      <w:r w:rsidRPr="00C04C4B">
        <w:rPr>
          <w:rFonts w:ascii="Garamond" w:eastAsia="Arial,Times New Roman" w:hAnsi="Garamond" w:cs="Arial"/>
          <w:lang w:val="es-ES" w:eastAsia="es-ES"/>
        </w:rPr>
        <w:t xml:space="preserve"> </w:t>
      </w:r>
      <w:r w:rsidRPr="00C04C4B">
        <w:rPr>
          <w:rFonts w:ascii="Garamond" w:hAnsi="Garamond" w:cs="Arial"/>
          <w:lang w:val="es-ES" w:eastAsia="es-ES"/>
        </w:rPr>
        <w:t>requerimientos</w:t>
      </w:r>
      <w:r w:rsidRPr="00C04C4B">
        <w:rPr>
          <w:rFonts w:ascii="Garamond" w:eastAsia="Arial,Times New Roman" w:hAnsi="Garamond" w:cs="Arial"/>
          <w:lang w:val="es-ES" w:eastAsia="es-ES"/>
        </w:rPr>
        <w:t xml:space="preserve"> </w:t>
      </w:r>
      <w:r w:rsidRPr="00C04C4B">
        <w:rPr>
          <w:rFonts w:ascii="Garamond" w:hAnsi="Garamond" w:cs="Arial"/>
          <w:lang w:val="es-ES" w:eastAsia="es-ES"/>
        </w:rPr>
        <w:t>de</w:t>
      </w:r>
      <w:r w:rsidRPr="00C04C4B">
        <w:rPr>
          <w:rFonts w:ascii="Garamond" w:eastAsia="Arial,Times New Roman" w:hAnsi="Garamond" w:cs="Arial"/>
          <w:lang w:val="es-ES" w:eastAsia="es-ES"/>
        </w:rPr>
        <w:t xml:space="preserve"> </w:t>
      </w:r>
      <w:r w:rsidRPr="00C04C4B">
        <w:rPr>
          <w:rFonts w:ascii="Garamond" w:hAnsi="Garamond" w:cs="Arial"/>
          <w:lang w:val="es-ES" w:eastAsia="es-ES"/>
        </w:rPr>
        <w:t>ley,</w:t>
      </w:r>
      <w:r w:rsidRPr="00C04C4B">
        <w:rPr>
          <w:rFonts w:ascii="Garamond" w:eastAsia="Arial,Times New Roman" w:hAnsi="Garamond" w:cs="Arial"/>
          <w:lang w:val="es-ES" w:eastAsia="es-ES"/>
        </w:rPr>
        <w:t xml:space="preserve"> </w:t>
      </w:r>
      <w:r w:rsidRPr="00C04C4B">
        <w:rPr>
          <w:rFonts w:ascii="Garamond" w:hAnsi="Garamond" w:cs="Arial"/>
          <w:lang w:val="es-ES" w:eastAsia="es-ES"/>
        </w:rPr>
        <w:t>o</w:t>
      </w:r>
      <w:r w:rsidRPr="00C04C4B">
        <w:rPr>
          <w:rFonts w:ascii="Garamond" w:eastAsia="Arial,Times New Roman" w:hAnsi="Garamond" w:cs="Arial"/>
          <w:lang w:val="es-ES" w:eastAsia="es-ES"/>
        </w:rPr>
        <w:t xml:space="preserve"> </w:t>
      </w:r>
      <w:r w:rsidRPr="00C04C4B">
        <w:rPr>
          <w:rFonts w:ascii="Garamond" w:hAnsi="Garamond" w:cs="Arial"/>
          <w:lang w:val="es-ES" w:eastAsia="es-ES"/>
        </w:rPr>
        <w:t>por</w:t>
      </w:r>
      <w:r w:rsidRPr="00C04C4B">
        <w:rPr>
          <w:rFonts w:ascii="Garamond" w:eastAsia="Arial,Times New Roman" w:hAnsi="Garamond" w:cs="Arial"/>
          <w:lang w:val="es-ES" w:eastAsia="es-ES"/>
        </w:rPr>
        <w:t xml:space="preserve"> </w:t>
      </w:r>
      <w:r w:rsidRPr="00C04C4B">
        <w:rPr>
          <w:rFonts w:ascii="Garamond" w:hAnsi="Garamond" w:cs="Arial"/>
          <w:lang w:val="es-ES" w:eastAsia="es-ES"/>
        </w:rPr>
        <w:t>el</w:t>
      </w:r>
      <w:r w:rsidRPr="00C04C4B">
        <w:rPr>
          <w:rFonts w:ascii="Garamond" w:eastAsia="Arial,Times New Roman" w:hAnsi="Garamond" w:cs="Arial"/>
          <w:lang w:val="es-ES" w:eastAsia="es-ES"/>
        </w:rPr>
        <w:t xml:space="preserve"> </w:t>
      </w:r>
      <w:r w:rsidRPr="00C04C4B">
        <w:rPr>
          <w:rFonts w:ascii="Garamond" w:hAnsi="Garamond" w:cs="Arial"/>
          <w:lang w:val="es-ES" w:eastAsia="es-ES"/>
        </w:rPr>
        <w:t>representante</w:t>
      </w:r>
      <w:r w:rsidRPr="00C04C4B">
        <w:rPr>
          <w:rFonts w:ascii="Garamond" w:eastAsia="Arial,Times New Roman" w:hAnsi="Garamond" w:cs="Arial"/>
          <w:lang w:val="es-ES" w:eastAsia="es-ES"/>
        </w:rPr>
        <w:t xml:space="preserve"> </w:t>
      </w:r>
      <w:r w:rsidRPr="00C04C4B">
        <w:rPr>
          <w:rFonts w:ascii="Garamond" w:hAnsi="Garamond" w:cs="Arial"/>
          <w:lang w:val="es-ES" w:eastAsia="es-ES"/>
        </w:rPr>
        <w:t>legal,</w:t>
      </w:r>
      <w:r w:rsidRPr="00C04C4B">
        <w:rPr>
          <w:rFonts w:ascii="Garamond" w:eastAsia="Arial,Times New Roman" w:hAnsi="Garamond" w:cs="Arial"/>
          <w:lang w:val="es-ES" w:eastAsia="es-ES"/>
        </w:rPr>
        <w:t xml:space="preserve"> </w:t>
      </w:r>
      <w:r w:rsidRPr="00C04C4B">
        <w:rPr>
          <w:rFonts w:ascii="Garamond" w:hAnsi="Garamond" w:cs="Arial"/>
          <w:lang w:val="es-ES" w:eastAsia="es-ES"/>
        </w:rPr>
        <w:t>bajo</w:t>
      </w:r>
      <w:r w:rsidRPr="00C04C4B">
        <w:rPr>
          <w:rFonts w:ascii="Garamond" w:eastAsia="Arial,Times New Roman" w:hAnsi="Garamond" w:cs="Arial"/>
          <w:lang w:val="es-ES" w:eastAsia="es-ES"/>
        </w:rPr>
        <w:t xml:space="preserve"> </w:t>
      </w:r>
      <w:r w:rsidRPr="00C04C4B">
        <w:rPr>
          <w:rFonts w:ascii="Garamond" w:hAnsi="Garamond" w:cs="Arial"/>
          <w:lang w:val="es-ES" w:eastAsia="es-ES"/>
        </w:rPr>
        <w:t>la</w:t>
      </w:r>
      <w:r w:rsidRPr="00C04C4B">
        <w:rPr>
          <w:rFonts w:ascii="Garamond" w:eastAsia="Arial,Times New Roman" w:hAnsi="Garamond" w:cs="Arial"/>
          <w:lang w:val="es-ES" w:eastAsia="es-ES"/>
        </w:rPr>
        <w:t xml:space="preserve"> </w:t>
      </w:r>
      <w:r w:rsidRPr="00C04C4B">
        <w:rPr>
          <w:rFonts w:ascii="Garamond" w:hAnsi="Garamond" w:cs="Arial"/>
          <w:lang w:val="es-ES" w:eastAsia="es-ES"/>
        </w:rPr>
        <w:t>gravedad</w:t>
      </w:r>
      <w:r w:rsidRPr="00C04C4B">
        <w:rPr>
          <w:rFonts w:ascii="Garamond" w:eastAsia="Arial,Times New Roman" w:hAnsi="Garamond" w:cs="Arial"/>
          <w:lang w:val="es-ES" w:eastAsia="es-ES"/>
        </w:rPr>
        <w:t xml:space="preserve"> </w:t>
      </w:r>
      <w:r w:rsidRPr="00C04C4B">
        <w:rPr>
          <w:rFonts w:ascii="Garamond" w:hAnsi="Garamond" w:cs="Arial"/>
          <w:lang w:val="es-ES" w:eastAsia="es-ES"/>
        </w:rPr>
        <w:t>del</w:t>
      </w:r>
      <w:r w:rsidRPr="00C04C4B">
        <w:rPr>
          <w:rFonts w:ascii="Garamond" w:eastAsia="Arial,Times New Roman" w:hAnsi="Garamond" w:cs="Arial"/>
          <w:lang w:val="es-ES" w:eastAsia="es-ES"/>
        </w:rPr>
        <w:t xml:space="preserve"> </w:t>
      </w:r>
      <w:r w:rsidRPr="00C04C4B">
        <w:rPr>
          <w:rFonts w:ascii="Garamond" w:hAnsi="Garamond" w:cs="Arial"/>
          <w:lang w:val="es-ES" w:eastAsia="es-ES"/>
        </w:rPr>
        <w:t>juramento,</w:t>
      </w:r>
      <w:r w:rsidRPr="00C04C4B">
        <w:rPr>
          <w:rFonts w:ascii="Garamond" w:eastAsia="Arial,Times New Roman" w:hAnsi="Garamond" w:cs="Arial"/>
          <w:lang w:val="es-ES" w:eastAsia="es-ES"/>
        </w:rPr>
        <w:t xml:space="preserve"> </w:t>
      </w:r>
      <w:r w:rsidRPr="00C04C4B">
        <w:rPr>
          <w:rFonts w:ascii="Garamond" w:hAnsi="Garamond" w:cs="Arial"/>
          <w:lang w:val="es-ES" w:eastAsia="es-ES"/>
        </w:rPr>
        <w:t>cuando</w:t>
      </w:r>
      <w:r w:rsidRPr="00C04C4B">
        <w:rPr>
          <w:rFonts w:ascii="Garamond" w:eastAsia="Arial,Times New Roman" w:hAnsi="Garamond" w:cs="Arial"/>
          <w:lang w:val="es-ES" w:eastAsia="es-ES"/>
        </w:rPr>
        <w:t xml:space="preserve"> </w:t>
      </w:r>
      <w:r w:rsidRPr="00C04C4B">
        <w:rPr>
          <w:rFonts w:ascii="Garamond" w:hAnsi="Garamond" w:cs="Arial"/>
          <w:lang w:val="es-ES" w:eastAsia="es-ES"/>
        </w:rPr>
        <w:t>no</w:t>
      </w:r>
      <w:r w:rsidRPr="00C04C4B">
        <w:rPr>
          <w:rFonts w:ascii="Garamond" w:eastAsia="Arial,Times New Roman" w:hAnsi="Garamond" w:cs="Arial"/>
          <w:lang w:val="es-ES" w:eastAsia="es-ES"/>
        </w:rPr>
        <w:t xml:space="preserve"> </w:t>
      </w:r>
      <w:r w:rsidRPr="00C04C4B">
        <w:rPr>
          <w:rFonts w:ascii="Garamond" w:hAnsi="Garamond" w:cs="Arial"/>
          <w:lang w:val="es-ES" w:eastAsia="es-ES"/>
        </w:rPr>
        <w:t>se</w:t>
      </w:r>
      <w:r w:rsidRPr="00C04C4B">
        <w:rPr>
          <w:rFonts w:ascii="Garamond" w:eastAsia="Arial,Times New Roman" w:hAnsi="Garamond" w:cs="Arial"/>
          <w:lang w:val="es-ES" w:eastAsia="es-ES"/>
        </w:rPr>
        <w:t xml:space="preserve"> </w:t>
      </w:r>
      <w:r w:rsidRPr="00C04C4B">
        <w:rPr>
          <w:rFonts w:ascii="Garamond" w:hAnsi="Garamond" w:cs="Arial"/>
          <w:lang w:val="es-ES" w:eastAsia="es-ES"/>
        </w:rPr>
        <w:t>requiera</w:t>
      </w:r>
      <w:r w:rsidRPr="00C04C4B">
        <w:rPr>
          <w:rFonts w:ascii="Garamond" w:eastAsia="Arial,Times New Roman" w:hAnsi="Garamond" w:cs="Arial"/>
          <w:lang w:val="es-ES" w:eastAsia="es-ES"/>
        </w:rPr>
        <w:t xml:space="preserve"> </w:t>
      </w:r>
      <w:r w:rsidRPr="00C04C4B">
        <w:rPr>
          <w:rFonts w:ascii="Garamond" w:hAnsi="Garamond" w:cs="Arial"/>
          <w:lang w:val="es-ES" w:eastAsia="es-ES"/>
        </w:rPr>
        <w:t>revisor fiscal</w:t>
      </w:r>
      <w:r w:rsidRPr="00C04C4B">
        <w:rPr>
          <w:rFonts w:ascii="Garamond" w:eastAsia="Arial,Times New Roman" w:hAnsi="Garamond" w:cs="Arial"/>
          <w:lang w:val="es-ES" w:eastAsia="es-ES"/>
        </w:rPr>
        <w:t xml:space="preserve">, </w:t>
      </w:r>
      <w:r w:rsidRPr="00C04C4B">
        <w:rPr>
          <w:rFonts w:ascii="Garamond" w:hAnsi="Garamond" w:cs="Arial"/>
          <w:lang w:val="es-ES" w:eastAsia="es-ES"/>
        </w:rPr>
        <w:t>en</w:t>
      </w:r>
      <w:r w:rsidRPr="00C04C4B">
        <w:rPr>
          <w:rFonts w:ascii="Garamond" w:eastAsia="Arial,Times New Roman" w:hAnsi="Garamond" w:cs="Arial"/>
          <w:lang w:val="es-ES" w:eastAsia="es-ES"/>
        </w:rPr>
        <w:t xml:space="preserve"> </w:t>
      </w:r>
      <w:r w:rsidRPr="00C04C4B">
        <w:rPr>
          <w:rFonts w:ascii="Garamond" w:hAnsi="Garamond" w:cs="Arial"/>
          <w:lang w:val="es-ES" w:eastAsia="es-ES"/>
        </w:rPr>
        <w:t>el</w:t>
      </w:r>
      <w:r w:rsidRPr="00C04C4B">
        <w:rPr>
          <w:rFonts w:ascii="Garamond" w:eastAsia="Arial,Times New Roman" w:hAnsi="Garamond" w:cs="Arial"/>
          <w:lang w:val="es-ES" w:eastAsia="es-ES"/>
        </w:rPr>
        <w:t xml:space="preserve"> </w:t>
      </w:r>
      <w:r w:rsidRPr="00C04C4B">
        <w:rPr>
          <w:rFonts w:ascii="Garamond" w:hAnsi="Garamond" w:cs="Arial"/>
          <w:lang w:val="es-ES" w:eastAsia="es-ES"/>
        </w:rPr>
        <w:t>que</w:t>
      </w:r>
      <w:r w:rsidRPr="00C04C4B">
        <w:rPr>
          <w:rFonts w:ascii="Garamond" w:eastAsia="Arial,Times New Roman" w:hAnsi="Garamond" w:cs="Arial"/>
          <w:lang w:val="es-ES" w:eastAsia="es-ES"/>
        </w:rPr>
        <w:t xml:space="preserve"> </w:t>
      </w:r>
      <w:r w:rsidRPr="00C04C4B">
        <w:rPr>
          <w:rFonts w:ascii="Garamond" w:hAnsi="Garamond" w:cs="Arial"/>
          <w:lang w:val="es-ES" w:eastAsia="es-ES"/>
        </w:rPr>
        <w:t>conste</w:t>
      </w:r>
      <w:r w:rsidRPr="00C04C4B">
        <w:rPr>
          <w:rFonts w:ascii="Garamond" w:eastAsia="Arial,Times New Roman" w:hAnsi="Garamond" w:cs="Arial"/>
          <w:lang w:val="es-ES" w:eastAsia="es-ES"/>
        </w:rPr>
        <w:t xml:space="preserve"> </w:t>
      </w:r>
      <w:r w:rsidRPr="00C04C4B">
        <w:rPr>
          <w:rFonts w:ascii="Garamond" w:hAnsi="Garamond" w:cs="Arial"/>
          <w:lang w:val="es-ES" w:eastAsia="es-ES"/>
        </w:rPr>
        <w:t>el</w:t>
      </w:r>
      <w:r w:rsidRPr="00C04C4B">
        <w:rPr>
          <w:rFonts w:ascii="Garamond" w:eastAsia="Arial,Times New Roman" w:hAnsi="Garamond" w:cs="Arial"/>
          <w:lang w:val="es-ES" w:eastAsia="es-ES"/>
        </w:rPr>
        <w:t xml:space="preserve"> </w:t>
      </w:r>
      <w:r w:rsidRPr="00C04C4B">
        <w:rPr>
          <w:rFonts w:ascii="Garamond" w:hAnsi="Garamond" w:cs="Arial"/>
          <w:lang w:val="es-ES" w:eastAsia="es-ES"/>
        </w:rPr>
        <w:t>pago</w:t>
      </w:r>
      <w:r w:rsidRPr="00C04C4B">
        <w:rPr>
          <w:rFonts w:ascii="Garamond" w:eastAsia="Arial,Times New Roman" w:hAnsi="Garamond" w:cs="Arial"/>
          <w:lang w:val="es-ES" w:eastAsia="es-ES"/>
        </w:rPr>
        <w:t xml:space="preserve"> </w:t>
      </w:r>
      <w:r w:rsidRPr="00C04C4B">
        <w:rPr>
          <w:rFonts w:ascii="Garamond" w:hAnsi="Garamond" w:cs="Arial"/>
          <w:lang w:val="es-ES" w:eastAsia="es-ES"/>
        </w:rPr>
        <w:t>de</w:t>
      </w:r>
      <w:r w:rsidRPr="00C04C4B">
        <w:rPr>
          <w:rFonts w:ascii="Garamond" w:eastAsia="Arial,Times New Roman" w:hAnsi="Garamond" w:cs="Arial"/>
          <w:lang w:val="es-ES" w:eastAsia="es-ES"/>
        </w:rPr>
        <w:t xml:space="preserve"> </w:t>
      </w:r>
      <w:r w:rsidRPr="00C04C4B">
        <w:rPr>
          <w:rFonts w:ascii="Garamond" w:hAnsi="Garamond" w:cs="Arial"/>
          <w:lang w:val="es-ES" w:eastAsia="es-ES"/>
        </w:rPr>
        <w:t>los</w:t>
      </w:r>
      <w:r w:rsidRPr="00C04C4B">
        <w:rPr>
          <w:rFonts w:ascii="Garamond" w:eastAsia="Arial,Times New Roman" w:hAnsi="Garamond" w:cs="Arial"/>
          <w:lang w:val="es-ES" w:eastAsia="es-ES"/>
        </w:rPr>
        <w:t xml:space="preserve"> </w:t>
      </w:r>
      <w:r w:rsidRPr="00C04C4B">
        <w:rPr>
          <w:rFonts w:ascii="Garamond" w:hAnsi="Garamond" w:cs="Arial"/>
          <w:lang w:val="es-ES" w:eastAsia="es-ES"/>
        </w:rPr>
        <w:t>aportes</w:t>
      </w:r>
      <w:r w:rsidRPr="00C04C4B">
        <w:rPr>
          <w:rFonts w:ascii="Garamond" w:eastAsia="Arial,Times New Roman" w:hAnsi="Garamond" w:cs="Arial"/>
          <w:lang w:val="es-ES" w:eastAsia="es-ES"/>
        </w:rPr>
        <w:t xml:space="preserve"> </w:t>
      </w:r>
      <w:r w:rsidRPr="00C04C4B">
        <w:rPr>
          <w:rFonts w:ascii="Garamond" w:hAnsi="Garamond" w:cs="Arial"/>
          <w:lang w:val="es-ES" w:eastAsia="es-ES"/>
        </w:rPr>
        <w:t>de</w:t>
      </w:r>
      <w:r w:rsidRPr="00C04C4B">
        <w:rPr>
          <w:rFonts w:ascii="Garamond" w:eastAsia="Arial,Times New Roman" w:hAnsi="Garamond" w:cs="Arial"/>
          <w:lang w:val="es-ES" w:eastAsia="es-ES"/>
        </w:rPr>
        <w:t xml:space="preserve"> </w:t>
      </w:r>
      <w:r w:rsidRPr="00C04C4B">
        <w:rPr>
          <w:rFonts w:ascii="Garamond" w:hAnsi="Garamond" w:cs="Arial"/>
          <w:lang w:val="es-ES" w:eastAsia="es-ES"/>
        </w:rPr>
        <w:t>sus</w:t>
      </w:r>
      <w:r w:rsidRPr="00C04C4B">
        <w:rPr>
          <w:rFonts w:ascii="Garamond" w:eastAsia="Arial,Times New Roman" w:hAnsi="Garamond" w:cs="Arial"/>
          <w:lang w:val="es-ES" w:eastAsia="es-ES"/>
        </w:rPr>
        <w:t xml:space="preserve"> </w:t>
      </w:r>
      <w:r w:rsidRPr="00C04C4B">
        <w:rPr>
          <w:rFonts w:ascii="Garamond" w:hAnsi="Garamond" w:cs="Arial"/>
          <w:lang w:val="es-ES" w:eastAsia="es-ES"/>
        </w:rPr>
        <w:t>empleados</w:t>
      </w:r>
      <w:r w:rsidRPr="00C04C4B">
        <w:rPr>
          <w:rFonts w:ascii="Garamond" w:eastAsia="Arial,Times New Roman" w:hAnsi="Garamond" w:cs="Arial"/>
          <w:lang w:val="es-ES" w:eastAsia="es-ES"/>
        </w:rPr>
        <w:t xml:space="preserve"> </w:t>
      </w:r>
      <w:r w:rsidRPr="00C04C4B">
        <w:rPr>
          <w:rFonts w:ascii="Garamond" w:hAnsi="Garamond" w:cs="Arial"/>
          <w:lang w:val="es-ES" w:eastAsia="es-ES"/>
        </w:rPr>
        <w:t>a</w:t>
      </w:r>
      <w:r w:rsidRPr="00C04C4B">
        <w:rPr>
          <w:rFonts w:ascii="Garamond" w:eastAsia="Arial,Times New Roman" w:hAnsi="Garamond" w:cs="Arial"/>
          <w:lang w:val="es-ES" w:eastAsia="es-ES"/>
        </w:rPr>
        <w:t xml:space="preserve"> </w:t>
      </w:r>
      <w:r w:rsidRPr="00C04C4B">
        <w:rPr>
          <w:rFonts w:ascii="Garamond" w:hAnsi="Garamond" w:cs="Arial"/>
          <w:lang w:val="es-ES" w:eastAsia="es-ES"/>
        </w:rPr>
        <w:t>los</w:t>
      </w:r>
      <w:r w:rsidRPr="00C04C4B">
        <w:rPr>
          <w:rFonts w:ascii="Garamond" w:eastAsia="Arial,Times New Roman" w:hAnsi="Garamond" w:cs="Arial"/>
          <w:lang w:val="es-ES" w:eastAsia="es-ES"/>
        </w:rPr>
        <w:t xml:space="preserve"> </w:t>
      </w:r>
      <w:r w:rsidRPr="00C04C4B">
        <w:rPr>
          <w:rFonts w:ascii="Garamond" w:hAnsi="Garamond" w:cs="Arial"/>
          <w:lang w:val="es-ES" w:eastAsia="es-ES"/>
        </w:rPr>
        <w:t>sistemas</w:t>
      </w:r>
      <w:r w:rsidRPr="00C04C4B">
        <w:rPr>
          <w:rFonts w:ascii="Garamond" w:eastAsia="Arial,Times New Roman" w:hAnsi="Garamond" w:cs="Arial"/>
          <w:lang w:val="es-ES" w:eastAsia="es-ES"/>
        </w:rPr>
        <w:t xml:space="preserve"> </w:t>
      </w:r>
      <w:r w:rsidRPr="00C04C4B">
        <w:rPr>
          <w:rFonts w:ascii="Garamond" w:hAnsi="Garamond" w:cs="Arial"/>
          <w:lang w:val="es-ES" w:eastAsia="es-ES"/>
        </w:rPr>
        <w:t>de</w:t>
      </w:r>
      <w:r w:rsidRPr="00C04C4B">
        <w:rPr>
          <w:rFonts w:ascii="Garamond" w:eastAsia="Arial,Times New Roman" w:hAnsi="Garamond" w:cs="Arial"/>
          <w:lang w:val="es-ES" w:eastAsia="es-ES"/>
        </w:rPr>
        <w:t xml:space="preserve"> </w:t>
      </w:r>
      <w:r w:rsidRPr="00C04C4B">
        <w:rPr>
          <w:rFonts w:ascii="Garamond" w:hAnsi="Garamond" w:cs="Arial"/>
          <w:lang w:val="es-ES" w:eastAsia="es-ES"/>
        </w:rPr>
        <w:t>salud,</w:t>
      </w:r>
      <w:r w:rsidRPr="00C04C4B">
        <w:rPr>
          <w:rFonts w:ascii="Garamond" w:eastAsia="Arial,Times New Roman" w:hAnsi="Garamond" w:cs="Arial"/>
          <w:lang w:val="es-ES" w:eastAsia="es-ES"/>
        </w:rPr>
        <w:t xml:space="preserve"> </w:t>
      </w:r>
      <w:r w:rsidRPr="00C04C4B">
        <w:rPr>
          <w:rFonts w:ascii="Garamond" w:hAnsi="Garamond" w:cs="Arial"/>
          <w:lang w:val="es-ES" w:eastAsia="es-ES"/>
        </w:rPr>
        <w:t>riesgos</w:t>
      </w:r>
      <w:r w:rsidRPr="00C04C4B">
        <w:rPr>
          <w:rFonts w:ascii="Garamond" w:eastAsia="Arial,Times New Roman" w:hAnsi="Garamond" w:cs="Arial"/>
          <w:lang w:val="es-ES" w:eastAsia="es-ES"/>
        </w:rPr>
        <w:t xml:space="preserve"> </w:t>
      </w:r>
      <w:r w:rsidRPr="00C04C4B">
        <w:rPr>
          <w:rFonts w:ascii="Garamond" w:hAnsi="Garamond" w:cs="Arial"/>
          <w:lang w:val="es-ES" w:eastAsia="es-ES"/>
        </w:rPr>
        <w:t>laborales,</w:t>
      </w:r>
      <w:r w:rsidRPr="00C04C4B">
        <w:rPr>
          <w:rFonts w:ascii="Garamond" w:eastAsia="Arial,Times New Roman" w:hAnsi="Garamond" w:cs="Arial"/>
          <w:lang w:val="es-ES" w:eastAsia="es-ES"/>
        </w:rPr>
        <w:t xml:space="preserve"> </w:t>
      </w:r>
      <w:r w:rsidRPr="00C04C4B">
        <w:rPr>
          <w:rFonts w:ascii="Garamond" w:hAnsi="Garamond" w:cs="Arial"/>
          <w:lang w:val="es-ES" w:eastAsia="es-ES"/>
        </w:rPr>
        <w:t>pensiones,</w:t>
      </w:r>
      <w:r w:rsidRPr="00C04C4B">
        <w:rPr>
          <w:rFonts w:ascii="Garamond" w:eastAsia="Arial,Times New Roman" w:hAnsi="Garamond" w:cs="Arial"/>
          <w:lang w:val="es-ES" w:eastAsia="es-ES"/>
        </w:rPr>
        <w:t xml:space="preserve"> </w:t>
      </w:r>
      <w:r w:rsidRPr="00C04C4B">
        <w:rPr>
          <w:rFonts w:ascii="Garamond" w:hAnsi="Garamond" w:cs="Arial"/>
          <w:lang w:val="es-ES" w:eastAsia="es-ES"/>
        </w:rPr>
        <w:t>aportes</w:t>
      </w:r>
      <w:r w:rsidRPr="00C04C4B">
        <w:rPr>
          <w:rFonts w:ascii="Garamond" w:eastAsia="Arial,Times New Roman" w:hAnsi="Garamond" w:cs="Arial"/>
          <w:lang w:val="es-ES" w:eastAsia="es-ES"/>
        </w:rPr>
        <w:t xml:space="preserve"> </w:t>
      </w:r>
      <w:r w:rsidRPr="00C04C4B">
        <w:rPr>
          <w:rFonts w:ascii="Garamond" w:hAnsi="Garamond" w:cs="Arial"/>
          <w:lang w:val="es-ES" w:eastAsia="es-ES"/>
        </w:rPr>
        <w:t>a</w:t>
      </w:r>
      <w:r w:rsidRPr="00C04C4B">
        <w:rPr>
          <w:rFonts w:ascii="Garamond" w:eastAsia="Arial,Times New Roman" w:hAnsi="Garamond" w:cs="Arial"/>
          <w:lang w:val="es-ES" w:eastAsia="es-ES"/>
        </w:rPr>
        <w:t xml:space="preserve"> </w:t>
      </w:r>
      <w:r w:rsidRPr="00C04C4B">
        <w:rPr>
          <w:rFonts w:ascii="Garamond" w:hAnsi="Garamond" w:cs="Arial"/>
          <w:lang w:val="es-ES" w:eastAsia="es-ES"/>
        </w:rPr>
        <w:t>las</w:t>
      </w:r>
      <w:r w:rsidRPr="00C04C4B">
        <w:rPr>
          <w:rFonts w:ascii="Garamond" w:eastAsia="Arial,Times New Roman" w:hAnsi="Garamond" w:cs="Arial"/>
          <w:lang w:val="es-ES" w:eastAsia="es-ES"/>
        </w:rPr>
        <w:t xml:space="preserve"> </w:t>
      </w:r>
      <w:r w:rsidRPr="00C04C4B">
        <w:rPr>
          <w:rFonts w:ascii="Garamond" w:hAnsi="Garamond" w:cs="Arial"/>
          <w:lang w:val="es-ES" w:eastAsia="es-ES"/>
        </w:rPr>
        <w:t>Cajas</w:t>
      </w:r>
      <w:r w:rsidRPr="00C04C4B">
        <w:rPr>
          <w:rFonts w:ascii="Garamond" w:eastAsia="Arial,Times New Roman" w:hAnsi="Garamond" w:cs="Arial"/>
          <w:lang w:val="es-ES" w:eastAsia="es-ES"/>
        </w:rPr>
        <w:t xml:space="preserve"> </w:t>
      </w:r>
      <w:r w:rsidRPr="00C04C4B">
        <w:rPr>
          <w:rFonts w:ascii="Garamond" w:hAnsi="Garamond" w:cs="Arial"/>
          <w:lang w:val="es-ES" w:eastAsia="es-ES"/>
        </w:rPr>
        <w:t>de</w:t>
      </w:r>
      <w:r w:rsidRPr="00C04C4B">
        <w:rPr>
          <w:rFonts w:ascii="Garamond" w:eastAsia="Arial,Times New Roman" w:hAnsi="Garamond" w:cs="Arial"/>
          <w:lang w:val="es-ES" w:eastAsia="es-ES"/>
        </w:rPr>
        <w:t xml:space="preserve"> </w:t>
      </w:r>
      <w:r w:rsidRPr="00C04C4B">
        <w:rPr>
          <w:rFonts w:ascii="Garamond" w:hAnsi="Garamond" w:cs="Arial"/>
          <w:lang w:val="es-ES" w:eastAsia="es-ES"/>
        </w:rPr>
        <w:t>Compensación</w:t>
      </w:r>
      <w:r w:rsidRPr="00C04C4B">
        <w:rPr>
          <w:rFonts w:ascii="Garamond" w:eastAsia="Arial,Times New Roman" w:hAnsi="Garamond" w:cs="Arial"/>
          <w:lang w:val="es-ES" w:eastAsia="es-ES"/>
        </w:rPr>
        <w:t xml:space="preserve"> </w:t>
      </w:r>
      <w:r w:rsidRPr="00C04C4B">
        <w:rPr>
          <w:rFonts w:ascii="Garamond" w:hAnsi="Garamond" w:cs="Arial"/>
          <w:lang w:val="es-ES" w:eastAsia="es-ES"/>
        </w:rPr>
        <w:t>Familiar, al</w:t>
      </w:r>
      <w:r w:rsidRPr="00C04C4B">
        <w:rPr>
          <w:rFonts w:ascii="Garamond" w:eastAsia="Arial,Times New Roman" w:hAnsi="Garamond" w:cs="Arial"/>
          <w:lang w:val="es-ES" w:eastAsia="es-ES"/>
        </w:rPr>
        <w:t xml:space="preserve"> </w:t>
      </w:r>
      <w:r w:rsidRPr="00C04C4B">
        <w:rPr>
          <w:rFonts w:ascii="Garamond" w:hAnsi="Garamond" w:cs="Arial"/>
          <w:lang w:val="es-ES" w:eastAsia="es-ES"/>
        </w:rPr>
        <w:t>Instituto</w:t>
      </w:r>
      <w:r w:rsidRPr="00C04C4B">
        <w:rPr>
          <w:rFonts w:ascii="Garamond" w:eastAsia="Arial,Times New Roman" w:hAnsi="Garamond" w:cs="Arial"/>
          <w:lang w:val="es-ES" w:eastAsia="es-ES"/>
        </w:rPr>
        <w:t xml:space="preserve"> </w:t>
      </w:r>
      <w:r w:rsidRPr="00C04C4B">
        <w:rPr>
          <w:rFonts w:ascii="Garamond" w:hAnsi="Garamond" w:cs="Arial"/>
          <w:lang w:val="es-ES" w:eastAsia="es-ES"/>
        </w:rPr>
        <w:t>Colombiano</w:t>
      </w:r>
      <w:r w:rsidRPr="00C04C4B">
        <w:rPr>
          <w:rFonts w:ascii="Garamond" w:eastAsia="Arial,Times New Roman" w:hAnsi="Garamond" w:cs="Arial"/>
          <w:lang w:val="es-ES" w:eastAsia="es-ES"/>
        </w:rPr>
        <w:t xml:space="preserve"> </w:t>
      </w:r>
      <w:r w:rsidRPr="00C04C4B">
        <w:rPr>
          <w:rFonts w:ascii="Garamond" w:hAnsi="Garamond" w:cs="Arial"/>
          <w:lang w:val="es-ES" w:eastAsia="es-ES"/>
        </w:rPr>
        <w:t>de</w:t>
      </w:r>
      <w:r w:rsidRPr="00C04C4B">
        <w:rPr>
          <w:rFonts w:ascii="Garamond" w:eastAsia="Arial,Times New Roman" w:hAnsi="Garamond" w:cs="Arial"/>
          <w:lang w:val="es-ES" w:eastAsia="es-ES"/>
        </w:rPr>
        <w:t xml:space="preserve"> </w:t>
      </w:r>
      <w:r w:rsidRPr="00C04C4B">
        <w:rPr>
          <w:rFonts w:ascii="Garamond" w:hAnsi="Garamond" w:cs="Arial"/>
          <w:lang w:val="es-ES" w:eastAsia="es-ES"/>
        </w:rPr>
        <w:t>Bienestar</w:t>
      </w:r>
      <w:r w:rsidRPr="00C04C4B">
        <w:rPr>
          <w:rFonts w:ascii="Garamond" w:eastAsia="Arial,Times New Roman" w:hAnsi="Garamond" w:cs="Arial"/>
          <w:lang w:val="es-ES" w:eastAsia="es-ES"/>
        </w:rPr>
        <w:t xml:space="preserve"> </w:t>
      </w:r>
      <w:r w:rsidRPr="00C04C4B">
        <w:rPr>
          <w:rFonts w:ascii="Garamond" w:hAnsi="Garamond" w:cs="Arial"/>
          <w:lang w:val="es-ES" w:eastAsia="es-ES"/>
        </w:rPr>
        <w:t>Familiar</w:t>
      </w:r>
      <w:r w:rsidRPr="00C04C4B">
        <w:rPr>
          <w:rFonts w:ascii="Garamond" w:eastAsia="Arial,Times New Roman" w:hAnsi="Garamond" w:cs="Arial"/>
          <w:lang w:val="es-ES" w:eastAsia="es-ES"/>
        </w:rPr>
        <w:t xml:space="preserve"> </w:t>
      </w:r>
      <w:r w:rsidRPr="00C04C4B">
        <w:rPr>
          <w:rFonts w:ascii="Garamond" w:hAnsi="Garamond" w:cs="Arial"/>
          <w:lang w:val="es-ES" w:eastAsia="es-ES"/>
        </w:rPr>
        <w:t>(ICBF)</w:t>
      </w:r>
      <w:r w:rsidRPr="00C04C4B">
        <w:rPr>
          <w:rFonts w:ascii="Garamond" w:hAnsi="Garamond"/>
          <w:lang w:val="es-MX"/>
        </w:rPr>
        <w:t xml:space="preserve"> al Servicio Nacional de Aprendizaje (SENA)</w:t>
      </w:r>
      <w:r w:rsidRPr="00C04C4B">
        <w:rPr>
          <w:rFonts w:ascii="Garamond" w:eastAsia="Arial,Times New Roman" w:hAnsi="Garamond" w:cs="Arial"/>
          <w:lang w:val="es-ES" w:eastAsia="es-ES"/>
        </w:rPr>
        <w:t xml:space="preserve"> </w:t>
      </w:r>
      <w:r w:rsidRPr="00C04C4B">
        <w:rPr>
          <w:rFonts w:ascii="Garamond" w:hAnsi="Garamond" w:cs="Arial"/>
          <w:lang w:val="es-ES" w:eastAsia="es-ES"/>
        </w:rPr>
        <w:t>cuando</w:t>
      </w:r>
      <w:r w:rsidRPr="00C04C4B">
        <w:rPr>
          <w:rFonts w:ascii="Garamond" w:eastAsia="Arial,Times New Roman" w:hAnsi="Garamond" w:cs="Arial"/>
          <w:lang w:val="es-ES" w:eastAsia="es-ES"/>
        </w:rPr>
        <w:t xml:space="preserve"> </w:t>
      </w:r>
      <w:r w:rsidRPr="00C04C4B">
        <w:rPr>
          <w:rFonts w:ascii="Garamond" w:hAnsi="Garamond" w:cs="Arial"/>
          <w:lang w:val="es-ES" w:eastAsia="es-ES"/>
        </w:rPr>
        <w:t>a</w:t>
      </w:r>
      <w:r w:rsidRPr="00C04C4B">
        <w:rPr>
          <w:rFonts w:ascii="Garamond" w:eastAsia="Arial,Times New Roman" w:hAnsi="Garamond" w:cs="Arial"/>
          <w:lang w:val="es-ES" w:eastAsia="es-ES"/>
        </w:rPr>
        <w:t xml:space="preserve"> </w:t>
      </w:r>
      <w:r w:rsidRPr="00C04C4B">
        <w:rPr>
          <w:rFonts w:ascii="Garamond" w:hAnsi="Garamond" w:cs="Arial"/>
          <w:lang w:val="es-ES" w:eastAsia="es-ES"/>
        </w:rPr>
        <w:t>ello</w:t>
      </w:r>
      <w:r w:rsidRPr="00C04C4B">
        <w:rPr>
          <w:rFonts w:ascii="Garamond" w:eastAsia="Arial,Times New Roman" w:hAnsi="Garamond" w:cs="Arial"/>
          <w:lang w:val="es-ES" w:eastAsia="es-ES"/>
        </w:rPr>
        <w:t xml:space="preserve"> </w:t>
      </w:r>
      <w:r w:rsidRPr="00C04C4B">
        <w:rPr>
          <w:rFonts w:ascii="Garamond" w:hAnsi="Garamond" w:cs="Arial"/>
          <w:lang w:val="es-ES" w:eastAsia="es-ES"/>
        </w:rPr>
        <w:t>haya</w:t>
      </w:r>
      <w:r w:rsidRPr="00C04C4B">
        <w:rPr>
          <w:rFonts w:ascii="Garamond" w:eastAsia="Arial,Times New Roman" w:hAnsi="Garamond" w:cs="Arial"/>
          <w:lang w:val="es-ES" w:eastAsia="es-ES"/>
        </w:rPr>
        <w:t xml:space="preserve"> </w:t>
      </w:r>
      <w:r w:rsidRPr="00C04C4B">
        <w:rPr>
          <w:rFonts w:ascii="Garamond" w:hAnsi="Garamond" w:cs="Arial"/>
          <w:lang w:val="es-ES" w:eastAsia="es-ES"/>
        </w:rPr>
        <w:t>lugar</w:t>
      </w:r>
      <w:r w:rsidRPr="00C04C4B">
        <w:rPr>
          <w:rFonts w:ascii="Garamond" w:eastAsia="Arial,Times New Roman" w:hAnsi="Garamond" w:cs="Arial"/>
          <w:lang w:val="es-ES" w:eastAsia="es-ES"/>
        </w:rPr>
        <w:t>.</w:t>
      </w:r>
    </w:p>
    <w:p w14:paraId="6389F627" w14:textId="77777777" w:rsidR="00C04C4B" w:rsidRPr="00C04C4B" w:rsidRDefault="00C04C4B" w:rsidP="00C04C4B">
      <w:pPr>
        <w:jc w:val="both"/>
        <w:rPr>
          <w:rFonts w:ascii="Garamond" w:eastAsia="Arial,Times New Roman" w:hAnsi="Garamond" w:cs="Arial"/>
          <w:lang w:val="es-ES" w:eastAsia="es-ES"/>
        </w:rPr>
      </w:pPr>
    </w:p>
    <w:p w14:paraId="3EB528A9" w14:textId="77777777" w:rsidR="00C04C4B" w:rsidRPr="00C04C4B" w:rsidRDefault="00C04C4B" w:rsidP="00C04C4B">
      <w:pPr>
        <w:jc w:val="both"/>
        <w:rPr>
          <w:rFonts w:ascii="Garamond" w:eastAsia="Arial,Times New Roman" w:hAnsi="Garamond" w:cs="Arial"/>
          <w:lang w:val="es-ES" w:eastAsia="es-ES"/>
        </w:rPr>
      </w:pPr>
      <w:r w:rsidRPr="00C04C4B">
        <w:rPr>
          <w:rFonts w:ascii="Garamond" w:eastAsia="Arial,Times New Roman" w:hAnsi="Garamond" w:cs="Arial"/>
          <w:lang w:val="es-ES" w:eastAsia="es-ES"/>
        </w:rPr>
        <w:t>La Entidad no exigirá las planillas de pago. Bastará el certificado suscrito por el revisor fiscal, en los casos requeridos por la ley, o por el representante legal que así lo acredite.</w:t>
      </w:r>
    </w:p>
    <w:p w14:paraId="46E5A3DA" w14:textId="77777777" w:rsidR="00C04C4B" w:rsidRPr="00C04C4B" w:rsidRDefault="00C04C4B" w:rsidP="00C04C4B">
      <w:pPr>
        <w:jc w:val="center"/>
        <w:rPr>
          <w:rFonts w:ascii="Garamond" w:eastAsia="Arial,Times New Roman" w:hAnsi="Garamond" w:cs="Arial"/>
          <w:lang w:val="es-ES" w:eastAsia="es-ES"/>
        </w:rPr>
      </w:pPr>
    </w:p>
    <w:p w14:paraId="72CBAE78" w14:textId="77777777" w:rsidR="00C04C4B" w:rsidRPr="00C04C4B" w:rsidRDefault="00C04C4B" w:rsidP="00C04C4B">
      <w:pPr>
        <w:jc w:val="both"/>
        <w:rPr>
          <w:rFonts w:ascii="Garamond" w:eastAsia="Arial,Times New Roman" w:hAnsi="Garamond" w:cs="Arial"/>
          <w:lang w:val="es-ES" w:eastAsia="es-ES"/>
        </w:rPr>
      </w:pPr>
      <w:r w:rsidRPr="00C04C4B">
        <w:rPr>
          <w:rFonts w:ascii="Garamond" w:hAnsi="Garamond" w:cs="Arial"/>
          <w:lang w:val="es-ES" w:eastAsia="es-ES"/>
        </w:rPr>
        <w:t>Cuando la persona jurídica está exonerada en los términos previstos en el artículo 65 de la Ley 1819 de 2016, debe indicarlo en el " Formato 5 – Pagos al Sistema de Seguridad Social y Aportes Legales”.</w:t>
      </w:r>
    </w:p>
    <w:p w14:paraId="0AF12E5A" w14:textId="77777777" w:rsidR="00C04C4B" w:rsidRPr="00C04C4B" w:rsidRDefault="00C04C4B" w:rsidP="00C04C4B">
      <w:pPr>
        <w:jc w:val="both"/>
        <w:rPr>
          <w:rFonts w:ascii="Garamond" w:eastAsia="Arial,Times New Roman" w:hAnsi="Garamond" w:cs="Arial"/>
          <w:lang w:val="es-ES" w:eastAsia="es-ES"/>
        </w:rPr>
      </w:pPr>
    </w:p>
    <w:p w14:paraId="618BF6CE" w14:textId="77777777" w:rsidR="00C04C4B" w:rsidRPr="00C04C4B" w:rsidRDefault="00C04C4B" w:rsidP="00C04C4B">
      <w:pPr>
        <w:jc w:val="both"/>
        <w:rPr>
          <w:rFonts w:ascii="Garamond" w:hAnsi="Garamond" w:cs="Arial"/>
          <w:lang w:val="es-ES" w:eastAsia="es-ES"/>
        </w:rPr>
      </w:pPr>
      <w:r w:rsidRPr="00C04C4B">
        <w:rPr>
          <w:rFonts w:ascii="Garamond" w:hAnsi="Garamond" w:cs="Arial"/>
          <w:lang w:val="es-ES" w:eastAsia="es-ES"/>
        </w:rPr>
        <w:t>Esta</w:t>
      </w:r>
      <w:r w:rsidRPr="00C04C4B">
        <w:rPr>
          <w:rFonts w:ascii="Garamond" w:eastAsia="Arial,Times New Roman" w:hAnsi="Garamond" w:cs="Arial"/>
          <w:lang w:val="es-ES" w:eastAsia="es-ES"/>
        </w:rPr>
        <w:t xml:space="preserve"> </w:t>
      </w:r>
      <w:r w:rsidRPr="00C04C4B">
        <w:rPr>
          <w:rFonts w:ascii="Garamond" w:hAnsi="Garamond" w:cs="Arial"/>
          <w:lang w:val="es-ES" w:eastAsia="es-ES"/>
        </w:rPr>
        <w:t>misma</w:t>
      </w:r>
      <w:r w:rsidRPr="00C04C4B">
        <w:rPr>
          <w:rFonts w:ascii="Garamond" w:eastAsia="Arial,Times New Roman" w:hAnsi="Garamond" w:cs="Arial"/>
          <w:lang w:val="es-ES" w:eastAsia="es-ES"/>
        </w:rPr>
        <w:t xml:space="preserve"> </w:t>
      </w:r>
      <w:r w:rsidRPr="00C04C4B">
        <w:rPr>
          <w:rFonts w:ascii="Garamond" w:hAnsi="Garamond" w:cs="Arial"/>
          <w:lang w:val="es-ES" w:eastAsia="es-ES"/>
        </w:rPr>
        <w:t>previsión</w:t>
      </w:r>
      <w:r w:rsidRPr="00C04C4B">
        <w:rPr>
          <w:rFonts w:ascii="Garamond" w:eastAsia="Arial,Times New Roman" w:hAnsi="Garamond" w:cs="Arial"/>
          <w:lang w:val="es-ES" w:eastAsia="es-ES"/>
        </w:rPr>
        <w:t xml:space="preserve"> </w:t>
      </w:r>
      <w:r w:rsidRPr="00C04C4B">
        <w:rPr>
          <w:rFonts w:ascii="Garamond" w:hAnsi="Garamond" w:cs="Arial"/>
          <w:lang w:val="es-ES" w:eastAsia="es-ES"/>
        </w:rPr>
        <w:t>aplica</w:t>
      </w:r>
      <w:r w:rsidRPr="00C04C4B">
        <w:rPr>
          <w:rFonts w:ascii="Garamond" w:eastAsia="Arial,Times New Roman" w:hAnsi="Garamond" w:cs="Arial"/>
          <w:lang w:val="es-ES" w:eastAsia="es-ES"/>
        </w:rPr>
        <w:t xml:space="preserve"> </w:t>
      </w:r>
      <w:r w:rsidRPr="00C04C4B">
        <w:rPr>
          <w:rFonts w:ascii="Garamond" w:hAnsi="Garamond" w:cs="Arial"/>
          <w:lang w:val="es-ES" w:eastAsia="es-ES"/>
        </w:rPr>
        <w:t>para</w:t>
      </w:r>
      <w:r w:rsidRPr="00C04C4B">
        <w:rPr>
          <w:rFonts w:ascii="Garamond" w:eastAsia="Arial,Times New Roman" w:hAnsi="Garamond" w:cs="Arial"/>
          <w:lang w:val="es-ES" w:eastAsia="es-ES"/>
        </w:rPr>
        <w:t xml:space="preserve"> </w:t>
      </w:r>
      <w:r w:rsidRPr="00C04C4B">
        <w:rPr>
          <w:rFonts w:ascii="Garamond" w:hAnsi="Garamond" w:cs="Arial"/>
          <w:lang w:val="es-ES" w:eastAsia="es-ES"/>
        </w:rPr>
        <w:t>las</w:t>
      </w:r>
      <w:r w:rsidRPr="00C04C4B">
        <w:rPr>
          <w:rFonts w:ascii="Garamond" w:eastAsia="Arial,Times New Roman" w:hAnsi="Garamond" w:cs="Arial"/>
          <w:lang w:val="es-ES" w:eastAsia="es-ES"/>
        </w:rPr>
        <w:t xml:space="preserve"> </w:t>
      </w:r>
      <w:r w:rsidRPr="00C04C4B">
        <w:rPr>
          <w:rFonts w:ascii="Garamond" w:hAnsi="Garamond" w:cs="Arial"/>
          <w:lang w:val="es-ES" w:eastAsia="es-ES"/>
        </w:rPr>
        <w:t>personas</w:t>
      </w:r>
      <w:r w:rsidRPr="00C04C4B">
        <w:rPr>
          <w:rFonts w:ascii="Garamond" w:eastAsia="Arial,Times New Roman" w:hAnsi="Garamond" w:cs="Arial"/>
          <w:lang w:val="es-ES" w:eastAsia="es-ES"/>
        </w:rPr>
        <w:t xml:space="preserve"> </w:t>
      </w:r>
      <w:r w:rsidRPr="00C04C4B">
        <w:rPr>
          <w:rFonts w:ascii="Garamond" w:hAnsi="Garamond" w:cs="Arial"/>
          <w:lang w:val="es-ES" w:eastAsia="es-ES"/>
        </w:rPr>
        <w:t>jurídicas</w:t>
      </w:r>
      <w:r w:rsidRPr="00C04C4B">
        <w:rPr>
          <w:rFonts w:ascii="Garamond" w:eastAsia="Arial,Times New Roman" w:hAnsi="Garamond" w:cs="Arial"/>
          <w:lang w:val="es-ES" w:eastAsia="es-ES"/>
        </w:rPr>
        <w:t xml:space="preserve"> </w:t>
      </w:r>
      <w:r w:rsidRPr="00C04C4B">
        <w:rPr>
          <w:rFonts w:ascii="Garamond" w:hAnsi="Garamond" w:cs="Arial"/>
          <w:lang w:val="es-ES" w:eastAsia="es-ES"/>
        </w:rPr>
        <w:t>extranjeras</w:t>
      </w:r>
      <w:r w:rsidRPr="00C04C4B">
        <w:rPr>
          <w:rFonts w:ascii="Garamond" w:eastAsia="Arial,Times New Roman" w:hAnsi="Garamond" w:cs="Arial"/>
          <w:lang w:val="es-ES" w:eastAsia="es-ES"/>
        </w:rPr>
        <w:t xml:space="preserve"> </w:t>
      </w:r>
      <w:r w:rsidRPr="00C04C4B">
        <w:rPr>
          <w:rFonts w:ascii="Garamond" w:hAnsi="Garamond" w:cs="Arial"/>
          <w:lang w:val="es-ES" w:eastAsia="es-ES"/>
        </w:rPr>
        <w:t>con</w:t>
      </w:r>
      <w:r w:rsidRPr="00C04C4B">
        <w:rPr>
          <w:rFonts w:ascii="Garamond" w:eastAsia="Arial,Times New Roman" w:hAnsi="Garamond" w:cs="Arial"/>
          <w:lang w:val="es-ES" w:eastAsia="es-ES"/>
        </w:rPr>
        <w:t xml:space="preserve"> </w:t>
      </w:r>
      <w:r w:rsidRPr="00C04C4B">
        <w:rPr>
          <w:rFonts w:ascii="Garamond" w:hAnsi="Garamond" w:cs="Arial"/>
          <w:lang w:val="es-ES" w:eastAsia="es-ES"/>
        </w:rPr>
        <w:t>domicilio</w:t>
      </w:r>
      <w:r w:rsidRPr="00C04C4B">
        <w:rPr>
          <w:rFonts w:ascii="Garamond" w:eastAsia="Arial,Times New Roman" w:hAnsi="Garamond" w:cs="Arial"/>
          <w:lang w:val="es-ES" w:eastAsia="es-ES"/>
        </w:rPr>
        <w:t xml:space="preserve"> </w:t>
      </w:r>
      <w:r w:rsidRPr="00C04C4B">
        <w:rPr>
          <w:rFonts w:ascii="Garamond" w:hAnsi="Garamond" w:cs="Arial"/>
          <w:lang w:val="es-ES" w:eastAsia="es-ES"/>
        </w:rPr>
        <w:t>o</w:t>
      </w:r>
      <w:r w:rsidRPr="00C04C4B">
        <w:rPr>
          <w:rFonts w:ascii="Garamond" w:eastAsia="Arial,Times New Roman" w:hAnsi="Garamond" w:cs="Arial"/>
          <w:lang w:val="es-ES" w:eastAsia="es-ES"/>
        </w:rPr>
        <w:t xml:space="preserve"> </w:t>
      </w:r>
      <w:r w:rsidRPr="00C04C4B">
        <w:rPr>
          <w:rFonts w:ascii="Garamond" w:hAnsi="Garamond" w:cs="Arial"/>
          <w:lang w:val="es-ES" w:eastAsia="es-ES"/>
        </w:rPr>
        <w:t>Sucursal</w:t>
      </w:r>
      <w:r w:rsidRPr="00C04C4B">
        <w:rPr>
          <w:rFonts w:ascii="Garamond" w:eastAsia="Arial,Times New Roman" w:hAnsi="Garamond" w:cs="Arial"/>
          <w:lang w:val="es-ES" w:eastAsia="es-ES"/>
        </w:rPr>
        <w:t xml:space="preserve"> </w:t>
      </w:r>
      <w:r w:rsidRPr="00C04C4B">
        <w:rPr>
          <w:rFonts w:ascii="Garamond" w:hAnsi="Garamond" w:cs="Arial"/>
          <w:lang w:val="es-ES" w:eastAsia="es-ES"/>
        </w:rPr>
        <w:t>en</w:t>
      </w:r>
      <w:r w:rsidRPr="00C04C4B">
        <w:rPr>
          <w:rFonts w:ascii="Garamond" w:eastAsia="Arial,Times New Roman" w:hAnsi="Garamond" w:cs="Arial"/>
          <w:lang w:val="es-ES" w:eastAsia="es-ES"/>
        </w:rPr>
        <w:t xml:space="preserve"> </w:t>
      </w:r>
      <w:r w:rsidRPr="00C04C4B">
        <w:rPr>
          <w:rFonts w:ascii="Garamond" w:hAnsi="Garamond" w:cs="Arial"/>
          <w:lang w:val="es-ES" w:eastAsia="es-ES"/>
        </w:rPr>
        <w:t>Colombia,</w:t>
      </w:r>
      <w:r w:rsidRPr="00C04C4B">
        <w:rPr>
          <w:rFonts w:ascii="Garamond" w:eastAsia="Arial,Times New Roman" w:hAnsi="Garamond" w:cs="Arial"/>
          <w:lang w:val="es-ES" w:eastAsia="es-ES"/>
        </w:rPr>
        <w:t xml:space="preserve"> </w:t>
      </w:r>
      <w:r w:rsidRPr="00C04C4B">
        <w:rPr>
          <w:rFonts w:ascii="Garamond" w:hAnsi="Garamond" w:cs="Arial"/>
          <w:lang w:val="es-ES" w:eastAsia="es-ES"/>
        </w:rPr>
        <w:t>las</w:t>
      </w:r>
      <w:r w:rsidRPr="00C04C4B">
        <w:rPr>
          <w:rFonts w:ascii="Garamond" w:eastAsia="Arial,Times New Roman" w:hAnsi="Garamond" w:cs="Arial"/>
          <w:lang w:val="es-ES" w:eastAsia="es-ES"/>
        </w:rPr>
        <w:t xml:space="preserve"> </w:t>
      </w:r>
      <w:r w:rsidRPr="00C04C4B">
        <w:rPr>
          <w:rFonts w:ascii="Garamond" w:hAnsi="Garamond" w:cs="Arial"/>
          <w:lang w:val="es-ES" w:eastAsia="es-ES"/>
        </w:rPr>
        <w:t>cuales</w:t>
      </w:r>
      <w:r w:rsidRPr="00C04C4B">
        <w:rPr>
          <w:rFonts w:ascii="Garamond" w:eastAsia="Arial,Times New Roman" w:hAnsi="Garamond" w:cs="Arial"/>
          <w:lang w:val="es-ES" w:eastAsia="es-ES"/>
        </w:rPr>
        <w:t xml:space="preserve"> </w:t>
      </w:r>
      <w:r w:rsidRPr="00C04C4B">
        <w:rPr>
          <w:rFonts w:ascii="Garamond" w:hAnsi="Garamond" w:cs="Arial"/>
          <w:lang w:val="es-ES" w:eastAsia="es-ES"/>
        </w:rPr>
        <w:t>deben</w:t>
      </w:r>
      <w:r w:rsidRPr="00C04C4B">
        <w:rPr>
          <w:rFonts w:ascii="Garamond" w:eastAsia="Arial,Times New Roman" w:hAnsi="Garamond" w:cs="Arial"/>
          <w:lang w:val="es-ES" w:eastAsia="es-ES"/>
        </w:rPr>
        <w:t xml:space="preserve"> </w:t>
      </w:r>
      <w:r w:rsidRPr="00C04C4B">
        <w:rPr>
          <w:rFonts w:ascii="Garamond" w:hAnsi="Garamond" w:cs="Arial"/>
          <w:lang w:val="es-ES" w:eastAsia="es-ES"/>
        </w:rPr>
        <w:t>acreditar</w:t>
      </w:r>
      <w:r w:rsidRPr="00C04C4B">
        <w:rPr>
          <w:rFonts w:ascii="Garamond" w:eastAsia="Arial,Times New Roman" w:hAnsi="Garamond" w:cs="Arial"/>
          <w:lang w:val="es-ES" w:eastAsia="es-ES"/>
        </w:rPr>
        <w:t xml:space="preserve"> </w:t>
      </w:r>
      <w:r w:rsidRPr="00C04C4B">
        <w:rPr>
          <w:rFonts w:ascii="Garamond" w:hAnsi="Garamond" w:cs="Arial"/>
          <w:lang w:val="es-ES" w:eastAsia="es-ES"/>
        </w:rPr>
        <w:t>este</w:t>
      </w:r>
      <w:r w:rsidRPr="00C04C4B">
        <w:rPr>
          <w:rFonts w:ascii="Garamond" w:eastAsia="Arial,Times New Roman" w:hAnsi="Garamond" w:cs="Arial"/>
          <w:lang w:val="es-ES" w:eastAsia="es-ES"/>
        </w:rPr>
        <w:t xml:space="preserve"> </w:t>
      </w:r>
      <w:r w:rsidRPr="00C04C4B">
        <w:rPr>
          <w:rFonts w:ascii="Garamond" w:hAnsi="Garamond" w:cs="Arial"/>
          <w:lang w:val="es-ES" w:eastAsia="es-ES"/>
        </w:rPr>
        <w:t>requisito</w:t>
      </w:r>
      <w:r w:rsidRPr="00C04C4B">
        <w:rPr>
          <w:rFonts w:ascii="Garamond" w:eastAsia="Arial,Times New Roman" w:hAnsi="Garamond" w:cs="Arial"/>
          <w:lang w:val="es-ES" w:eastAsia="es-ES"/>
        </w:rPr>
        <w:t xml:space="preserve"> </w:t>
      </w:r>
      <w:r w:rsidRPr="00C04C4B">
        <w:rPr>
          <w:rFonts w:ascii="Garamond" w:hAnsi="Garamond" w:cs="Arial"/>
          <w:lang w:val="es-ES" w:eastAsia="es-ES"/>
        </w:rPr>
        <w:t>respecto</w:t>
      </w:r>
      <w:r w:rsidRPr="00C04C4B">
        <w:rPr>
          <w:rFonts w:ascii="Garamond" w:eastAsia="Arial,Times New Roman" w:hAnsi="Garamond" w:cs="Arial"/>
          <w:lang w:val="es-ES" w:eastAsia="es-ES"/>
        </w:rPr>
        <w:t xml:space="preserve"> </w:t>
      </w:r>
      <w:r w:rsidRPr="00C04C4B">
        <w:rPr>
          <w:rFonts w:ascii="Garamond" w:hAnsi="Garamond" w:cs="Arial"/>
          <w:lang w:val="es-ES" w:eastAsia="es-ES"/>
        </w:rPr>
        <w:t>del</w:t>
      </w:r>
      <w:r w:rsidRPr="00C04C4B">
        <w:rPr>
          <w:rFonts w:ascii="Garamond" w:eastAsia="Arial,Times New Roman" w:hAnsi="Garamond" w:cs="Arial"/>
          <w:lang w:val="es-ES" w:eastAsia="es-ES"/>
        </w:rPr>
        <w:t xml:space="preserve"> </w:t>
      </w:r>
      <w:r w:rsidRPr="00C04C4B">
        <w:rPr>
          <w:rFonts w:ascii="Garamond" w:hAnsi="Garamond" w:cs="Arial"/>
          <w:lang w:val="es-ES" w:eastAsia="es-ES"/>
        </w:rPr>
        <w:t>personal</w:t>
      </w:r>
      <w:r w:rsidRPr="00C04C4B">
        <w:rPr>
          <w:rFonts w:ascii="Garamond" w:eastAsia="Arial,Times New Roman" w:hAnsi="Garamond" w:cs="Arial"/>
          <w:lang w:val="es-ES" w:eastAsia="es-ES"/>
        </w:rPr>
        <w:t xml:space="preserve"> </w:t>
      </w:r>
      <w:r w:rsidRPr="00C04C4B">
        <w:rPr>
          <w:rFonts w:ascii="Garamond" w:hAnsi="Garamond" w:cs="Arial"/>
          <w:lang w:val="es-ES" w:eastAsia="es-ES"/>
        </w:rPr>
        <w:t>vinculado</w:t>
      </w:r>
      <w:r w:rsidRPr="00C04C4B">
        <w:rPr>
          <w:rFonts w:ascii="Garamond" w:eastAsia="Arial,Times New Roman" w:hAnsi="Garamond" w:cs="Arial"/>
          <w:lang w:val="es-ES" w:eastAsia="es-ES"/>
        </w:rPr>
        <w:t xml:space="preserve"> </w:t>
      </w:r>
      <w:r w:rsidRPr="00C04C4B">
        <w:rPr>
          <w:rFonts w:ascii="Garamond" w:hAnsi="Garamond" w:cs="Arial"/>
          <w:lang w:val="es-ES" w:eastAsia="es-ES"/>
        </w:rPr>
        <w:t>en</w:t>
      </w:r>
      <w:r w:rsidRPr="00C04C4B">
        <w:rPr>
          <w:rFonts w:ascii="Garamond" w:eastAsia="Arial,Times New Roman" w:hAnsi="Garamond" w:cs="Arial"/>
          <w:lang w:val="es-ES" w:eastAsia="es-ES"/>
        </w:rPr>
        <w:t xml:space="preserve"> </w:t>
      </w:r>
      <w:r w:rsidRPr="00C04C4B">
        <w:rPr>
          <w:rFonts w:ascii="Garamond" w:hAnsi="Garamond" w:cs="Arial"/>
          <w:lang w:val="es-ES" w:eastAsia="es-ES"/>
        </w:rPr>
        <w:t>Colombia.</w:t>
      </w:r>
    </w:p>
    <w:p w14:paraId="51881AF2" w14:textId="77777777" w:rsidR="00C04C4B" w:rsidRPr="00C04C4B" w:rsidRDefault="00C04C4B" w:rsidP="00C04C4B">
      <w:pPr>
        <w:jc w:val="both"/>
        <w:rPr>
          <w:rFonts w:ascii="Garamond" w:eastAsia="Arial,Times New Roman" w:hAnsi="Garamond" w:cs="Arial"/>
          <w:lang w:val="es-ES" w:eastAsia="es-ES"/>
        </w:rPr>
      </w:pPr>
    </w:p>
    <w:p w14:paraId="6D7E9525" w14:textId="77777777" w:rsidR="00C04C4B" w:rsidRPr="00C04C4B" w:rsidRDefault="00C04C4B" w:rsidP="00A23238">
      <w:pPr>
        <w:pStyle w:val="Capitulo1"/>
        <w:numPr>
          <w:ilvl w:val="2"/>
          <w:numId w:val="54"/>
        </w:numPr>
        <w:tabs>
          <w:tab w:val="left" w:pos="851"/>
        </w:tabs>
        <w:spacing w:line="240" w:lineRule="auto"/>
        <w:jc w:val="both"/>
        <w:rPr>
          <w:rFonts w:ascii="Garamond" w:eastAsia="Arial" w:hAnsi="Garamond"/>
          <w:color w:val="auto"/>
          <w:sz w:val="22"/>
          <w:szCs w:val="22"/>
        </w:rPr>
      </w:pPr>
      <w:bookmarkStart w:id="257" w:name="_Toc35616254"/>
      <w:bookmarkStart w:id="258" w:name="_Toc40113347"/>
      <w:bookmarkStart w:id="259" w:name="_Toc108082911"/>
      <w:bookmarkStart w:id="260" w:name="_Toc215132439"/>
      <w:r w:rsidRPr="00C04C4B">
        <w:rPr>
          <w:rFonts w:ascii="Garamond" w:eastAsia="Arial" w:hAnsi="Garamond"/>
          <w:color w:val="auto"/>
          <w:sz w:val="22"/>
          <w:szCs w:val="22"/>
        </w:rPr>
        <w:t>PERSONAS NATURALES</w:t>
      </w:r>
      <w:bookmarkEnd w:id="257"/>
      <w:bookmarkEnd w:id="258"/>
      <w:bookmarkEnd w:id="259"/>
      <w:bookmarkEnd w:id="260"/>
      <w:r w:rsidRPr="00C04C4B">
        <w:rPr>
          <w:rFonts w:ascii="Garamond" w:eastAsia="Arial" w:hAnsi="Garamond"/>
          <w:color w:val="auto"/>
          <w:sz w:val="22"/>
          <w:szCs w:val="22"/>
        </w:rPr>
        <w:t xml:space="preserve"> </w:t>
      </w:r>
    </w:p>
    <w:p w14:paraId="2C2CA77A" w14:textId="77777777" w:rsidR="00C04C4B" w:rsidRPr="00C04C4B" w:rsidRDefault="00C04C4B" w:rsidP="00C04C4B">
      <w:pPr>
        <w:spacing w:after="160" w:line="259" w:lineRule="auto"/>
        <w:jc w:val="both"/>
        <w:rPr>
          <w:rFonts w:ascii="Garamond" w:eastAsia="Arial" w:hAnsi="Garamond" w:cs="Arial"/>
          <w:color w:val="000000" w:themeColor="text1"/>
          <w:lang w:val="es-ES"/>
        </w:rPr>
      </w:pPr>
      <w:r w:rsidRPr="00C04C4B">
        <w:rPr>
          <w:rFonts w:ascii="Garamond" w:eastAsia="Arial" w:hAnsi="Garamond" w:cs="Arial"/>
          <w:color w:val="000000" w:themeColor="text1"/>
          <w:lang w:val="es-MX"/>
        </w:rPr>
        <w:t xml:space="preserve">El proponente </w:t>
      </w:r>
      <w:r w:rsidRPr="00C04C4B">
        <w:rPr>
          <w:rFonts w:ascii="Garamond" w:eastAsia="Arial" w:hAnsi="Garamond" w:cs="Arial"/>
          <w:lang w:val="es-MX"/>
        </w:rPr>
        <w:t xml:space="preserve">persona natural debe acreditar la afiliación a los sistemas de seguridad social en salud y pensiones, aportando los certificados de afiliación respectivos o con el certificado de pago de la correspondiente planilla con fecha de expedición no mayor a treinta (30) días calendario, anteriores a la fecha de cierre del Proceso de Contratación o copia de la planilla de seguridad social paga. </w:t>
      </w:r>
      <w:r w:rsidRPr="00C04C4B">
        <w:rPr>
          <w:rFonts w:ascii="Garamond" w:eastAsia="Arial" w:hAnsi="Garamond" w:cs="Arial"/>
          <w:color w:val="000000" w:themeColor="text1"/>
          <w:lang w:val="es-MX"/>
        </w:rPr>
        <w:t>En caso de modificarse la fecha de cierre del proceso, se tendrá como referencia para establecer el plazo de vigencia de los certificados de afiliación la fecha originalmente establecida en el pliego de condiciones definitivo.</w:t>
      </w:r>
    </w:p>
    <w:p w14:paraId="4821B0B0" w14:textId="77777777" w:rsidR="00C04C4B" w:rsidRPr="00C04C4B" w:rsidRDefault="00C04C4B" w:rsidP="00C04C4B">
      <w:pPr>
        <w:spacing w:line="276" w:lineRule="auto"/>
        <w:jc w:val="both"/>
        <w:rPr>
          <w:rFonts w:ascii="Garamond" w:hAnsi="Garamond"/>
          <w:lang w:val="es-MX"/>
        </w:rPr>
      </w:pPr>
      <w:r w:rsidRPr="00C04C4B">
        <w:rPr>
          <w:rFonts w:ascii="Garamond" w:eastAsia="Arial" w:hAnsi="Garamond" w:cs="Arial"/>
          <w:color w:val="000000" w:themeColor="text1"/>
          <w:lang w:val="es-MX"/>
        </w:rPr>
        <w:t>La persona natural que reúna los requisitos para acceder a la pensión de vejez, o</w:t>
      </w:r>
      <w:r w:rsidRPr="00C04C4B">
        <w:rPr>
          <w:rFonts w:ascii="Garamond" w:hAnsi="Garamond"/>
          <w:lang w:val="es-MX"/>
        </w:rPr>
        <w:t xml:space="preserve"> presente resolución de reconocimiento de pensión o indemnización sustitutiva, presentará el documento que lo acredite y, además, la afiliación al sistema de salud. </w:t>
      </w:r>
    </w:p>
    <w:p w14:paraId="4F8420B6" w14:textId="77777777" w:rsidR="00C04C4B" w:rsidRPr="00C04C4B" w:rsidRDefault="00C04C4B" w:rsidP="00C04C4B">
      <w:pPr>
        <w:spacing w:line="276" w:lineRule="auto"/>
        <w:jc w:val="both"/>
        <w:rPr>
          <w:rFonts w:ascii="Garamond" w:hAnsi="Garamond"/>
          <w:lang w:val="es-MX"/>
        </w:rPr>
      </w:pPr>
    </w:p>
    <w:p w14:paraId="1AE7B89E" w14:textId="77777777" w:rsidR="00C04C4B" w:rsidRPr="00C04C4B" w:rsidRDefault="00C04C4B" w:rsidP="00C04C4B">
      <w:pPr>
        <w:spacing w:after="160" w:line="259" w:lineRule="auto"/>
        <w:jc w:val="both"/>
        <w:rPr>
          <w:rFonts w:ascii="Garamond" w:eastAsia="Arial" w:hAnsi="Garamond" w:cs="Arial"/>
          <w:color w:val="0078D4"/>
          <w:lang w:val="es-ES"/>
        </w:rPr>
      </w:pPr>
      <w:r w:rsidRPr="00C04C4B">
        <w:rPr>
          <w:rFonts w:ascii="Garamond" w:eastAsia="Arial" w:hAnsi="Garamond" w:cs="Arial"/>
          <w:color w:val="000000" w:themeColor="text1"/>
          <w:lang w:val="es-MX"/>
        </w:rPr>
        <w:t>De igual forma, quienes se encuentren en condición legal de no estar obligados a realizar cotización de pensión tendrán que presentar el documento que así lo acredite y, adicionalmente, el certificado de afiliación al sistema de salud.</w:t>
      </w:r>
    </w:p>
    <w:p w14:paraId="46A23859" w14:textId="77777777" w:rsidR="00C04C4B" w:rsidRPr="00C04C4B" w:rsidRDefault="00C04C4B" w:rsidP="00C04C4B">
      <w:pPr>
        <w:pStyle w:val="InviasNormal"/>
        <w:jc w:val="both"/>
        <w:rPr>
          <w:rFonts w:ascii="Garamond" w:hAnsi="Garamond"/>
          <w:sz w:val="22"/>
          <w:szCs w:val="22"/>
        </w:rPr>
      </w:pPr>
      <w:r w:rsidRPr="00C04C4B">
        <w:rPr>
          <w:rFonts w:ascii="Garamond" w:eastAsia="Arial" w:hAnsi="Garamond" w:cs="Arial"/>
          <w:color w:val="000000" w:themeColor="text1"/>
          <w:sz w:val="22"/>
          <w:szCs w:val="22"/>
          <w:lang w:val="es-MX"/>
        </w:rPr>
        <w:t>Esta misma previsión aplica para las personas naturales extranjeras con domicilio en Colombia las cuales deberán acreditar este requisito respecto del personal vinculado en Colombia.</w:t>
      </w:r>
      <w:bookmarkStart w:id="261" w:name="_Toc35616257"/>
    </w:p>
    <w:p w14:paraId="58589BF3" w14:textId="77777777" w:rsidR="00C04C4B" w:rsidRPr="00C04C4B" w:rsidRDefault="00C04C4B" w:rsidP="00A23238">
      <w:pPr>
        <w:pStyle w:val="Capitulo1"/>
        <w:numPr>
          <w:ilvl w:val="2"/>
          <w:numId w:val="54"/>
        </w:numPr>
        <w:tabs>
          <w:tab w:val="left" w:pos="851"/>
        </w:tabs>
        <w:spacing w:line="240" w:lineRule="auto"/>
        <w:jc w:val="both"/>
        <w:rPr>
          <w:rFonts w:ascii="Garamond" w:eastAsia="Arial" w:hAnsi="Garamond"/>
          <w:color w:val="auto"/>
          <w:sz w:val="22"/>
          <w:szCs w:val="22"/>
        </w:rPr>
      </w:pPr>
      <w:bookmarkStart w:id="262" w:name="_Toc40113348"/>
      <w:bookmarkStart w:id="263" w:name="_Toc108082912"/>
      <w:bookmarkStart w:id="264" w:name="_Toc215132440"/>
      <w:r w:rsidRPr="00C04C4B">
        <w:rPr>
          <w:rFonts w:ascii="Garamond" w:eastAsia="Arial" w:hAnsi="Garamond"/>
          <w:color w:val="auto"/>
          <w:sz w:val="22"/>
          <w:szCs w:val="22"/>
        </w:rPr>
        <w:lastRenderedPageBreak/>
        <w:t>PROPONENTES PLURALES</w:t>
      </w:r>
      <w:bookmarkEnd w:id="261"/>
      <w:bookmarkEnd w:id="262"/>
      <w:bookmarkEnd w:id="263"/>
      <w:bookmarkEnd w:id="264"/>
      <w:r w:rsidRPr="00C04C4B">
        <w:rPr>
          <w:rFonts w:ascii="Garamond" w:eastAsia="Arial" w:hAnsi="Garamond"/>
          <w:color w:val="auto"/>
          <w:sz w:val="22"/>
          <w:szCs w:val="22"/>
        </w:rPr>
        <w:t xml:space="preserve"> </w:t>
      </w:r>
    </w:p>
    <w:p w14:paraId="5A63AF83" w14:textId="77777777" w:rsidR="00C04C4B" w:rsidRPr="00C04C4B" w:rsidRDefault="00C04C4B" w:rsidP="00C04C4B">
      <w:pPr>
        <w:jc w:val="both"/>
        <w:rPr>
          <w:rFonts w:ascii="Garamond" w:hAnsi="Garamond"/>
          <w:lang w:val="es-MX"/>
        </w:rPr>
      </w:pPr>
      <w:r w:rsidRPr="00C04C4B">
        <w:rPr>
          <w:rFonts w:ascii="Garamond" w:hAnsi="Garamond"/>
          <w:lang w:val="es-MX"/>
        </w:rPr>
        <w:t>Cada uno de los integrantes del Proponente Plural debe acreditar por separado los requisitos de que tratan los numerales anteriores.</w:t>
      </w:r>
    </w:p>
    <w:p w14:paraId="3D51268E" w14:textId="77777777" w:rsidR="00C04C4B" w:rsidRPr="00C04C4B" w:rsidRDefault="00C04C4B" w:rsidP="00C04C4B">
      <w:pPr>
        <w:rPr>
          <w:rFonts w:ascii="Garamond" w:hAnsi="Garamond" w:cs="Arial"/>
        </w:rPr>
      </w:pPr>
    </w:p>
    <w:p w14:paraId="6D40F9FD" w14:textId="77777777" w:rsidR="00C04C4B" w:rsidRPr="00C04C4B" w:rsidRDefault="00C04C4B" w:rsidP="00C04C4B">
      <w:pPr>
        <w:rPr>
          <w:rFonts w:ascii="Garamond" w:eastAsia="Arial" w:hAnsi="Garamond" w:cs="Arial"/>
        </w:rPr>
      </w:pPr>
    </w:p>
    <w:p w14:paraId="70C34808" w14:textId="77777777" w:rsidR="00C04C4B" w:rsidRPr="00C04C4B" w:rsidRDefault="00C04C4B" w:rsidP="00A23238">
      <w:pPr>
        <w:pStyle w:val="Capitulo1"/>
        <w:numPr>
          <w:ilvl w:val="2"/>
          <w:numId w:val="54"/>
        </w:numPr>
        <w:tabs>
          <w:tab w:val="left" w:pos="851"/>
        </w:tabs>
        <w:spacing w:line="240" w:lineRule="auto"/>
        <w:jc w:val="both"/>
        <w:rPr>
          <w:rFonts w:ascii="Garamond" w:eastAsia="Arial" w:hAnsi="Garamond"/>
          <w:color w:val="auto"/>
          <w:sz w:val="22"/>
          <w:szCs w:val="22"/>
        </w:rPr>
      </w:pPr>
      <w:bookmarkStart w:id="265" w:name="_Toc35616258"/>
      <w:bookmarkStart w:id="266" w:name="_Toc40113349"/>
      <w:bookmarkStart w:id="267" w:name="_Toc108082913"/>
      <w:bookmarkStart w:id="268" w:name="_Toc215132441"/>
      <w:r w:rsidRPr="00C04C4B">
        <w:rPr>
          <w:rFonts w:ascii="Garamond" w:eastAsia="Arial" w:hAnsi="Garamond"/>
          <w:color w:val="auto"/>
          <w:sz w:val="22"/>
          <w:szCs w:val="22"/>
        </w:rPr>
        <w:t xml:space="preserve">SEGURIDAD SOCIAL PARA LA SUSCRIPCIÓN DEL </w:t>
      </w:r>
      <w:bookmarkEnd w:id="265"/>
      <w:bookmarkEnd w:id="266"/>
      <w:r w:rsidRPr="00C04C4B">
        <w:rPr>
          <w:rFonts w:ascii="Garamond" w:eastAsia="Arial" w:hAnsi="Garamond"/>
          <w:color w:val="auto"/>
          <w:sz w:val="22"/>
          <w:szCs w:val="22"/>
        </w:rPr>
        <w:t>CONTRATO</w:t>
      </w:r>
      <w:bookmarkEnd w:id="267"/>
      <w:bookmarkEnd w:id="268"/>
      <w:r w:rsidRPr="00C04C4B">
        <w:rPr>
          <w:rFonts w:ascii="Garamond" w:eastAsia="Arial" w:hAnsi="Garamond"/>
          <w:color w:val="auto"/>
          <w:sz w:val="22"/>
          <w:szCs w:val="22"/>
        </w:rPr>
        <w:t xml:space="preserve"> </w:t>
      </w:r>
    </w:p>
    <w:p w14:paraId="0EAF551E" w14:textId="77777777" w:rsidR="00C04C4B" w:rsidRPr="00C04C4B" w:rsidRDefault="00C04C4B" w:rsidP="00C04C4B">
      <w:pPr>
        <w:jc w:val="both"/>
        <w:rPr>
          <w:rFonts w:ascii="Garamond" w:eastAsia="Arial,Times New Roman" w:hAnsi="Garamond" w:cs="Arial"/>
          <w:lang w:val="es-ES" w:eastAsia="es-ES"/>
        </w:rPr>
      </w:pPr>
      <w:r w:rsidRPr="00C04C4B">
        <w:rPr>
          <w:rFonts w:ascii="Garamond" w:hAnsi="Garamond" w:cs="Arial"/>
          <w:lang w:val="es-ES" w:eastAsia="es-ES"/>
        </w:rPr>
        <w:t>El</w:t>
      </w:r>
      <w:r w:rsidRPr="00C04C4B">
        <w:rPr>
          <w:rFonts w:ascii="Garamond" w:eastAsia="Arial,Times New Roman" w:hAnsi="Garamond" w:cs="Arial"/>
          <w:lang w:val="es-ES" w:eastAsia="es-ES"/>
        </w:rPr>
        <w:t xml:space="preserve"> adjudicatario debe presentar, para la suscripción del respectivo contrato ante la dependencia respectiva, la declaración donde acredite el pago correspondiente al Sistema de Seguridad Social y Aportes Legales cuando a ello haya lugar. </w:t>
      </w:r>
    </w:p>
    <w:p w14:paraId="77611D43" w14:textId="77777777" w:rsidR="00C04C4B" w:rsidRPr="00C04C4B" w:rsidRDefault="00C04C4B" w:rsidP="00C04C4B">
      <w:pPr>
        <w:jc w:val="both"/>
        <w:rPr>
          <w:rFonts w:ascii="Garamond" w:eastAsia="Arial,Times New Roman" w:hAnsi="Garamond" w:cs="Arial"/>
          <w:lang w:val="es-ES" w:eastAsia="es-ES"/>
        </w:rPr>
      </w:pPr>
    </w:p>
    <w:p w14:paraId="63AC8A79" w14:textId="77777777" w:rsidR="00C04C4B" w:rsidRPr="00C04C4B" w:rsidRDefault="00C04C4B" w:rsidP="00C04C4B">
      <w:pPr>
        <w:jc w:val="both"/>
        <w:rPr>
          <w:rFonts w:ascii="Garamond" w:eastAsia="Arial,Times New Roman" w:hAnsi="Garamond" w:cs="Arial"/>
          <w:lang w:val="es-ES" w:eastAsia="es-ES"/>
        </w:rPr>
      </w:pPr>
      <w:r w:rsidRPr="00C04C4B">
        <w:rPr>
          <w:rFonts w:ascii="Garamond" w:eastAsia="Arial,Times New Roman" w:hAnsi="Garamond" w:cs="Arial"/>
          <w:lang w:val="es-ES" w:eastAsia="es-ES"/>
        </w:rPr>
        <w:t>En caso de que el adjudicatario, persona natural o jurídica, no tenga o haya tenido dentro de los seis (6) meses anteriores a la fecha de firma del contrato personal a cargo y, por ende, no esté obligado a efectuar el pago de Aportes Legales y Seguridad Social debe indicar esta circunstancia en la mencionada certificación, bajo la gravedad del juramento.</w:t>
      </w:r>
    </w:p>
    <w:p w14:paraId="6D493CF7" w14:textId="77777777" w:rsidR="00C04C4B" w:rsidRPr="00C04C4B" w:rsidRDefault="00C04C4B" w:rsidP="00C04C4B">
      <w:pPr>
        <w:jc w:val="both"/>
        <w:rPr>
          <w:rFonts w:ascii="Garamond" w:eastAsia="Arial,Times New Roman" w:hAnsi="Garamond" w:cs="Arial"/>
          <w:lang w:val="es-ES" w:eastAsia="es-ES"/>
        </w:rPr>
      </w:pPr>
    </w:p>
    <w:p w14:paraId="2DB4B6FC" w14:textId="64F2745F" w:rsidR="00C04C4B" w:rsidRPr="00C04C4B" w:rsidRDefault="00C04C4B" w:rsidP="00A23238">
      <w:pPr>
        <w:pStyle w:val="Capitulo1"/>
        <w:numPr>
          <w:ilvl w:val="1"/>
          <w:numId w:val="54"/>
        </w:numPr>
        <w:tabs>
          <w:tab w:val="left" w:pos="851"/>
        </w:tabs>
        <w:spacing w:line="240" w:lineRule="auto"/>
        <w:jc w:val="both"/>
        <w:rPr>
          <w:rFonts w:ascii="Garamond" w:eastAsia="Arial" w:hAnsi="Garamond"/>
          <w:color w:val="auto"/>
          <w:sz w:val="22"/>
          <w:szCs w:val="22"/>
        </w:rPr>
      </w:pPr>
      <w:bookmarkStart w:id="269" w:name="_Toc45547602"/>
      <w:bookmarkStart w:id="270" w:name="_Toc45870470"/>
      <w:bookmarkStart w:id="271" w:name="_Toc48204157"/>
      <w:bookmarkStart w:id="272" w:name="_Toc45547603"/>
      <w:bookmarkStart w:id="273" w:name="_Toc45870471"/>
      <w:bookmarkStart w:id="274" w:name="_Toc48204158"/>
      <w:bookmarkStart w:id="275" w:name="_Toc35616267"/>
      <w:bookmarkStart w:id="276" w:name="_Toc35616594"/>
      <w:bookmarkStart w:id="277" w:name="_Toc36796772"/>
      <w:bookmarkStart w:id="278" w:name="_Toc36797009"/>
      <w:bookmarkStart w:id="279" w:name="_Toc36797247"/>
      <w:bookmarkStart w:id="280" w:name="_Toc35616269"/>
      <w:bookmarkStart w:id="281" w:name="_Toc35616596"/>
      <w:bookmarkStart w:id="282" w:name="_Toc36796774"/>
      <w:bookmarkStart w:id="283" w:name="_Toc36797011"/>
      <w:bookmarkStart w:id="284" w:name="_Toc36797249"/>
      <w:bookmarkStart w:id="285" w:name="_Toc35616271"/>
      <w:bookmarkStart w:id="286" w:name="_Toc35616598"/>
      <w:bookmarkStart w:id="287" w:name="_Toc36796776"/>
      <w:bookmarkStart w:id="288" w:name="_Toc36797013"/>
      <w:bookmarkStart w:id="289" w:name="_Toc36797251"/>
      <w:bookmarkStart w:id="290" w:name="_Toc511029823"/>
      <w:bookmarkStart w:id="291" w:name="_Toc511375663"/>
      <w:bookmarkStart w:id="292" w:name="_Toc511375841"/>
      <w:bookmarkStart w:id="293" w:name="_Toc511924794"/>
      <w:bookmarkStart w:id="294" w:name="_Toc520226883"/>
      <w:bookmarkStart w:id="295" w:name="_Toc520297853"/>
      <w:bookmarkStart w:id="296" w:name="_Toc520317118"/>
      <w:bookmarkStart w:id="297" w:name="_Toc533083721"/>
      <w:bookmarkStart w:id="298" w:name="_Toc35616389"/>
      <w:bookmarkStart w:id="299" w:name="_Toc40113351"/>
      <w:bookmarkStart w:id="300" w:name="_Toc108082914"/>
      <w:bookmarkStart w:id="301" w:name="_Toc215132442"/>
      <w:bookmarkStart w:id="302" w:name="_Toc508648272"/>
      <w:bookmarkStart w:id="303" w:name="_Toc508984056"/>
      <w:bookmarkStart w:id="304" w:name="_Toc509843887"/>
      <w:bookmarkEnd w:id="250"/>
      <w:bookmarkEnd w:id="256"/>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C04C4B">
        <w:rPr>
          <w:rFonts w:ascii="Garamond" w:eastAsia="Arial" w:hAnsi="Garamond"/>
          <w:color w:val="auto"/>
          <w:sz w:val="22"/>
          <w:szCs w:val="22"/>
        </w:rPr>
        <w:t>CAPACIDAD FINANCIERA</w:t>
      </w:r>
      <w:bookmarkEnd w:id="293"/>
      <w:bookmarkEnd w:id="294"/>
      <w:bookmarkEnd w:id="295"/>
      <w:bookmarkEnd w:id="296"/>
      <w:bookmarkEnd w:id="297"/>
      <w:bookmarkEnd w:id="298"/>
      <w:bookmarkEnd w:id="299"/>
      <w:bookmarkEnd w:id="300"/>
      <w:bookmarkEnd w:id="301"/>
      <w:r w:rsidRPr="00C04C4B">
        <w:rPr>
          <w:rFonts w:ascii="Garamond" w:eastAsia="Arial" w:hAnsi="Garamond"/>
          <w:color w:val="auto"/>
          <w:sz w:val="22"/>
          <w:szCs w:val="22"/>
        </w:rPr>
        <w:t xml:space="preserve"> </w:t>
      </w:r>
      <w:bookmarkEnd w:id="302"/>
      <w:bookmarkEnd w:id="303"/>
      <w:bookmarkEnd w:id="304"/>
    </w:p>
    <w:p w14:paraId="08DCA0B7" w14:textId="77777777" w:rsidR="00C04C4B" w:rsidRPr="00C04C4B" w:rsidRDefault="00C04C4B" w:rsidP="00C04C4B">
      <w:pPr>
        <w:jc w:val="both"/>
        <w:rPr>
          <w:rFonts w:ascii="Garamond" w:hAnsi="Garamond" w:cs="Arial"/>
        </w:rPr>
      </w:pPr>
    </w:p>
    <w:p w14:paraId="130E44AE" w14:textId="77777777" w:rsidR="00C04C4B" w:rsidRPr="00C04C4B" w:rsidRDefault="00C04C4B" w:rsidP="00C04C4B">
      <w:pPr>
        <w:jc w:val="both"/>
        <w:rPr>
          <w:rFonts w:ascii="Garamond" w:eastAsia="Arial" w:hAnsi="Garamond" w:cs="Arial"/>
        </w:rPr>
      </w:pPr>
      <w:r w:rsidRPr="00C04C4B">
        <w:rPr>
          <w:rFonts w:ascii="Garamond" w:hAnsi="Garamond" w:cs="Arial"/>
        </w:rPr>
        <w:t>Los</w:t>
      </w:r>
      <w:r w:rsidRPr="00C04C4B">
        <w:rPr>
          <w:rFonts w:ascii="Garamond" w:eastAsia="Arial" w:hAnsi="Garamond" w:cs="Arial"/>
        </w:rPr>
        <w:t xml:space="preserve"> </w:t>
      </w:r>
      <w:r w:rsidRPr="00C04C4B">
        <w:rPr>
          <w:rFonts w:ascii="Garamond" w:hAnsi="Garamond" w:cs="Arial"/>
        </w:rPr>
        <w:t>Proponentes</w:t>
      </w:r>
      <w:r w:rsidRPr="00C04C4B">
        <w:rPr>
          <w:rFonts w:ascii="Garamond" w:eastAsia="Arial" w:hAnsi="Garamond" w:cs="Arial"/>
        </w:rPr>
        <w:t xml:space="preserve"> </w:t>
      </w:r>
      <w:r w:rsidRPr="00C04C4B">
        <w:rPr>
          <w:rFonts w:ascii="Garamond" w:hAnsi="Garamond" w:cs="Arial"/>
        </w:rPr>
        <w:t>deberán</w:t>
      </w:r>
      <w:r w:rsidRPr="00C04C4B">
        <w:rPr>
          <w:rFonts w:ascii="Garamond" w:eastAsia="Arial" w:hAnsi="Garamond" w:cs="Arial"/>
        </w:rPr>
        <w:t xml:space="preserve"> </w:t>
      </w:r>
      <w:r w:rsidRPr="00C04C4B">
        <w:rPr>
          <w:rFonts w:ascii="Garamond" w:hAnsi="Garamond" w:cs="Arial"/>
        </w:rPr>
        <w:t>acreditar</w:t>
      </w:r>
      <w:r w:rsidRPr="00C04C4B">
        <w:rPr>
          <w:rFonts w:ascii="Garamond" w:eastAsia="Arial" w:hAnsi="Garamond" w:cs="Arial"/>
        </w:rPr>
        <w:t xml:space="preserve"> </w:t>
      </w:r>
      <w:r w:rsidRPr="00C04C4B">
        <w:rPr>
          <w:rFonts w:ascii="Garamond" w:hAnsi="Garamond" w:cs="Arial"/>
        </w:rPr>
        <w:t>los</w:t>
      </w:r>
      <w:r w:rsidRPr="00C04C4B">
        <w:rPr>
          <w:rFonts w:ascii="Garamond" w:eastAsia="Arial" w:hAnsi="Garamond" w:cs="Arial"/>
        </w:rPr>
        <w:t xml:space="preserve"> </w:t>
      </w:r>
      <w:r w:rsidRPr="00C04C4B">
        <w:rPr>
          <w:rFonts w:ascii="Garamond" w:hAnsi="Garamond" w:cs="Arial"/>
        </w:rPr>
        <w:t>siguientes indicadores</w:t>
      </w:r>
      <w:r w:rsidRPr="00C04C4B">
        <w:rPr>
          <w:rFonts w:ascii="Garamond" w:eastAsia="Arial" w:hAnsi="Garamond" w:cs="Arial"/>
        </w:rPr>
        <w:t xml:space="preserve"> </w:t>
      </w:r>
      <w:r w:rsidRPr="00C04C4B">
        <w:rPr>
          <w:rFonts w:ascii="Garamond" w:hAnsi="Garamond" w:cs="Arial"/>
        </w:rPr>
        <w:t>en los términos señalados en la “Matriz 2 – Indicadores financieros y organizacionales” y bajo las condiciones señaladas en el numeral 3.8 del Pliego de Condiciones</w:t>
      </w:r>
      <w:r w:rsidRPr="00C04C4B">
        <w:rPr>
          <w:rFonts w:ascii="Garamond" w:eastAsia="Arial" w:hAnsi="Garamond" w:cs="Arial"/>
        </w:rPr>
        <w:t xml:space="preserve">: </w:t>
      </w:r>
    </w:p>
    <w:p w14:paraId="256D8388" w14:textId="77777777" w:rsidR="00C04C4B" w:rsidRPr="00C04C4B" w:rsidRDefault="00C04C4B" w:rsidP="00C04C4B">
      <w:pPr>
        <w:jc w:val="both"/>
        <w:rPr>
          <w:rFonts w:ascii="Garamond" w:eastAsia="Arial" w:hAnsi="Garamond" w:cs="Arial"/>
        </w:rPr>
      </w:pPr>
    </w:p>
    <w:tbl>
      <w:tblPr>
        <w:tblStyle w:val="Tablaconcuadrcula"/>
        <w:tblW w:w="6959" w:type="dxa"/>
        <w:jc w:val="center"/>
        <w:tblLook w:val="04A0" w:firstRow="1" w:lastRow="0" w:firstColumn="1" w:lastColumn="0" w:noHBand="0" w:noVBand="1"/>
      </w:tblPr>
      <w:tblGrid>
        <w:gridCol w:w="2595"/>
        <w:gridCol w:w="4364"/>
      </w:tblGrid>
      <w:tr w:rsidR="00C04C4B" w:rsidRPr="00C04C4B" w14:paraId="7D671909" w14:textId="77777777" w:rsidTr="00CE73D4">
        <w:trPr>
          <w:trHeight w:val="297"/>
          <w:tblHeader/>
          <w:jc w:val="center"/>
        </w:trPr>
        <w:tc>
          <w:tcPr>
            <w:tcW w:w="2595"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755BB459" w14:textId="77777777" w:rsidR="00C04C4B" w:rsidRPr="00C04C4B" w:rsidRDefault="00C04C4B" w:rsidP="00CE73D4">
            <w:pPr>
              <w:jc w:val="center"/>
              <w:rPr>
                <w:rFonts w:ascii="Garamond" w:eastAsia="Arial" w:hAnsi="Garamond" w:cs="Arial"/>
                <w:b/>
                <w:bCs/>
                <w:color w:val="FFFFFF" w:themeColor="background1"/>
                <w:sz w:val="22"/>
                <w:szCs w:val="22"/>
              </w:rPr>
            </w:pPr>
            <w:bookmarkStart w:id="305" w:name="_Hlk530507326"/>
            <w:r w:rsidRPr="00C04C4B">
              <w:rPr>
                <w:rFonts w:ascii="Garamond" w:hAnsi="Garamond" w:cs="Arial"/>
                <w:b/>
                <w:bCs/>
                <w:color w:val="FFFFFF" w:themeColor="background1"/>
                <w:sz w:val="22"/>
                <w:szCs w:val="22"/>
              </w:rPr>
              <w:t>Indicador</w:t>
            </w:r>
          </w:p>
        </w:tc>
        <w:tc>
          <w:tcPr>
            <w:tcW w:w="436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5A22A029" w14:textId="77777777" w:rsidR="00C04C4B" w:rsidRPr="00C04C4B" w:rsidRDefault="00C04C4B" w:rsidP="00CE73D4">
            <w:pPr>
              <w:jc w:val="center"/>
              <w:rPr>
                <w:rFonts w:ascii="Garamond" w:eastAsia="Arial" w:hAnsi="Garamond" w:cs="Arial"/>
                <w:b/>
                <w:bCs/>
                <w:color w:val="FFFFFF" w:themeColor="background1"/>
                <w:sz w:val="22"/>
                <w:szCs w:val="22"/>
              </w:rPr>
            </w:pPr>
            <w:r w:rsidRPr="00C04C4B">
              <w:rPr>
                <w:rFonts w:ascii="Garamond" w:hAnsi="Garamond" w:cs="Arial"/>
                <w:b/>
                <w:bCs/>
                <w:color w:val="FFFFFF" w:themeColor="background1"/>
                <w:sz w:val="22"/>
                <w:szCs w:val="22"/>
              </w:rPr>
              <w:t>Fórmula</w:t>
            </w:r>
          </w:p>
        </w:tc>
      </w:tr>
      <w:tr w:rsidR="00C04C4B" w:rsidRPr="00C04C4B" w14:paraId="0385A5AF" w14:textId="77777777" w:rsidTr="00CE73D4">
        <w:trPr>
          <w:trHeight w:val="597"/>
          <w:jc w:val="center"/>
        </w:trPr>
        <w:tc>
          <w:tcPr>
            <w:tcW w:w="2595" w:type="dxa"/>
            <w:tcBorders>
              <w:top w:val="single" w:sz="4" w:space="0" w:color="auto"/>
              <w:left w:val="double" w:sz="4" w:space="0" w:color="auto"/>
              <w:bottom w:val="single" w:sz="4" w:space="0" w:color="auto"/>
              <w:right w:val="single" w:sz="4" w:space="0" w:color="auto"/>
            </w:tcBorders>
            <w:vAlign w:val="center"/>
            <w:hideMark/>
          </w:tcPr>
          <w:p w14:paraId="77386DCB" w14:textId="77777777" w:rsidR="00C04C4B" w:rsidRPr="00C04C4B" w:rsidRDefault="00C04C4B" w:rsidP="00CE73D4">
            <w:pPr>
              <w:tabs>
                <w:tab w:val="left" w:pos="1039"/>
              </w:tabs>
              <w:jc w:val="center"/>
              <w:rPr>
                <w:rFonts w:ascii="Garamond" w:eastAsia="Arial" w:hAnsi="Garamond" w:cs="Arial"/>
                <w:sz w:val="22"/>
                <w:szCs w:val="22"/>
              </w:rPr>
            </w:pPr>
            <w:r w:rsidRPr="00C04C4B">
              <w:rPr>
                <w:rFonts w:ascii="Garamond" w:eastAsia="Arial" w:hAnsi="Garamond" w:cs="Arial"/>
                <w:sz w:val="22"/>
                <w:szCs w:val="22"/>
              </w:rPr>
              <w:t>Liquidez</w:t>
            </w:r>
          </w:p>
        </w:tc>
        <w:tc>
          <w:tcPr>
            <w:tcW w:w="4364" w:type="dxa"/>
            <w:tcBorders>
              <w:top w:val="single" w:sz="4" w:space="0" w:color="auto"/>
              <w:left w:val="single" w:sz="4" w:space="0" w:color="auto"/>
              <w:bottom w:val="single" w:sz="4" w:space="0" w:color="auto"/>
              <w:right w:val="double" w:sz="4" w:space="0" w:color="auto"/>
            </w:tcBorders>
            <w:vAlign w:val="center"/>
            <w:hideMark/>
          </w:tcPr>
          <w:p w14:paraId="4AD90AF1" w14:textId="77777777" w:rsidR="00C04C4B" w:rsidRPr="00C04C4B" w:rsidRDefault="00C04C4B" w:rsidP="00CE73D4">
            <w:pPr>
              <w:jc w:val="center"/>
              <w:rPr>
                <w:rFonts w:ascii="Garamond" w:eastAsia="Arial" w:hAnsi="Garamond" w:cs="Arial"/>
                <w:sz w:val="22"/>
                <w:szCs w:val="22"/>
              </w:rPr>
            </w:pPr>
            <m:oMathPara>
              <m:oMath>
                <m:f>
                  <m:fPr>
                    <m:ctrlPr>
                      <w:rPr>
                        <w:rFonts w:ascii="Cambria Math" w:eastAsia="Arial" w:hAnsi="Cambria Math" w:cs="Arial"/>
                        <w:sz w:val="22"/>
                        <w:szCs w:val="22"/>
                      </w:rPr>
                    </m:ctrlPr>
                  </m:fPr>
                  <m:num>
                    <m:r>
                      <m:rPr>
                        <m:sty m:val="p"/>
                      </m:rPr>
                      <w:rPr>
                        <w:rFonts w:ascii="Cambria Math" w:eastAsia="Arial" w:hAnsi="Cambria Math" w:cs="Arial"/>
                        <w:sz w:val="22"/>
                        <w:szCs w:val="22"/>
                      </w:rPr>
                      <m:t>Activo Corriente</m:t>
                    </m:r>
                  </m:num>
                  <m:den>
                    <m:r>
                      <m:rPr>
                        <m:sty m:val="p"/>
                      </m:rPr>
                      <w:rPr>
                        <w:rFonts w:ascii="Cambria Math" w:eastAsia="Arial" w:hAnsi="Cambria Math" w:cs="Arial"/>
                        <w:sz w:val="22"/>
                        <w:szCs w:val="22"/>
                      </w:rPr>
                      <m:t>Pasivo Corriente</m:t>
                    </m:r>
                  </m:den>
                </m:f>
              </m:oMath>
            </m:oMathPara>
          </w:p>
        </w:tc>
      </w:tr>
      <w:tr w:rsidR="00C04C4B" w:rsidRPr="00C04C4B" w14:paraId="01EEBBD0" w14:textId="77777777" w:rsidTr="00CE73D4">
        <w:trPr>
          <w:trHeight w:val="772"/>
          <w:jc w:val="center"/>
        </w:trPr>
        <w:tc>
          <w:tcPr>
            <w:tcW w:w="2595" w:type="dxa"/>
            <w:tcBorders>
              <w:top w:val="single" w:sz="4" w:space="0" w:color="auto"/>
              <w:left w:val="double" w:sz="4" w:space="0" w:color="auto"/>
              <w:bottom w:val="single" w:sz="4" w:space="0" w:color="auto"/>
              <w:right w:val="single" w:sz="4" w:space="0" w:color="auto"/>
            </w:tcBorders>
            <w:vAlign w:val="center"/>
            <w:hideMark/>
          </w:tcPr>
          <w:p w14:paraId="3931CDCB" w14:textId="77777777" w:rsidR="00C04C4B" w:rsidRPr="00C04C4B" w:rsidRDefault="00C04C4B" w:rsidP="00CE73D4">
            <w:pPr>
              <w:jc w:val="center"/>
              <w:rPr>
                <w:rFonts w:ascii="Garamond" w:eastAsia="Arial" w:hAnsi="Garamond" w:cs="Arial"/>
                <w:sz w:val="22"/>
                <w:szCs w:val="22"/>
              </w:rPr>
            </w:pPr>
            <w:r w:rsidRPr="00C04C4B">
              <w:rPr>
                <w:rFonts w:ascii="Garamond" w:eastAsia="Arial" w:hAnsi="Garamond" w:cs="Arial"/>
                <w:sz w:val="22"/>
                <w:szCs w:val="22"/>
              </w:rPr>
              <w:t>Nivel de Endeudamiento</w:t>
            </w:r>
          </w:p>
        </w:tc>
        <w:tc>
          <w:tcPr>
            <w:tcW w:w="4364" w:type="dxa"/>
            <w:tcBorders>
              <w:top w:val="single" w:sz="4" w:space="0" w:color="auto"/>
              <w:left w:val="single" w:sz="4" w:space="0" w:color="auto"/>
              <w:bottom w:val="single" w:sz="4" w:space="0" w:color="auto"/>
              <w:right w:val="double" w:sz="4" w:space="0" w:color="auto"/>
            </w:tcBorders>
            <w:vAlign w:val="center"/>
          </w:tcPr>
          <w:p w14:paraId="46B0A675" w14:textId="77777777" w:rsidR="00C04C4B" w:rsidRPr="00C04C4B" w:rsidRDefault="00C04C4B" w:rsidP="00CE73D4">
            <w:pPr>
              <w:jc w:val="center"/>
              <w:rPr>
                <w:rFonts w:ascii="Garamond" w:eastAsia="Arial" w:hAnsi="Garamond" w:cs="Arial"/>
                <w:sz w:val="22"/>
                <w:szCs w:val="22"/>
              </w:rPr>
            </w:pPr>
            <m:oMathPara>
              <m:oMath>
                <m:f>
                  <m:fPr>
                    <m:ctrlPr>
                      <w:rPr>
                        <w:rFonts w:ascii="Cambria Math" w:eastAsia="Arial" w:hAnsi="Cambria Math" w:cs="Arial"/>
                        <w:sz w:val="22"/>
                        <w:szCs w:val="22"/>
                      </w:rPr>
                    </m:ctrlPr>
                  </m:fPr>
                  <m:num>
                    <m:r>
                      <m:rPr>
                        <m:sty m:val="p"/>
                      </m:rPr>
                      <w:rPr>
                        <w:rFonts w:ascii="Cambria Math" w:eastAsia="Arial" w:hAnsi="Cambria Math" w:cs="Arial"/>
                        <w:sz w:val="22"/>
                        <w:szCs w:val="22"/>
                      </w:rPr>
                      <m:t>Pasivo Total</m:t>
                    </m:r>
                  </m:num>
                  <m:den>
                    <m:r>
                      <m:rPr>
                        <m:sty m:val="p"/>
                      </m:rPr>
                      <w:rPr>
                        <w:rFonts w:ascii="Cambria Math" w:eastAsia="Arial" w:hAnsi="Cambria Math" w:cs="Arial"/>
                        <w:sz w:val="22"/>
                        <w:szCs w:val="22"/>
                      </w:rPr>
                      <m:t>Activo Total</m:t>
                    </m:r>
                  </m:den>
                </m:f>
              </m:oMath>
            </m:oMathPara>
          </w:p>
        </w:tc>
      </w:tr>
      <w:tr w:rsidR="00C04C4B" w:rsidRPr="00C04C4B" w14:paraId="4ABF7358" w14:textId="77777777" w:rsidTr="00CE73D4">
        <w:trPr>
          <w:trHeight w:val="471"/>
          <w:jc w:val="center"/>
        </w:trPr>
        <w:tc>
          <w:tcPr>
            <w:tcW w:w="2595" w:type="dxa"/>
            <w:tcBorders>
              <w:top w:val="single" w:sz="4" w:space="0" w:color="auto"/>
              <w:left w:val="double" w:sz="4" w:space="0" w:color="auto"/>
              <w:bottom w:val="single" w:sz="4" w:space="0" w:color="auto"/>
              <w:right w:val="single" w:sz="4" w:space="0" w:color="auto"/>
            </w:tcBorders>
            <w:vAlign w:val="center"/>
            <w:hideMark/>
          </w:tcPr>
          <w:p w14:paraId="3EA7BDDB" w14:textId="77777777" w:rsidR="00C04C4B" w:rsidRPr="00C04C4B" w:rsidRDefault="00C04C4B" w:rsidP="00CE73D4">
            <w:pPr>
              <w:jc w:val="center"/>
              <w:rPr>
                <w:rFonts w:ascii="Garamond" w:eastAsia="Arial" w:hAnsi="Garamond" w:cs="Arial"/>
                <w:sz w:val="22"/>
                <w:szCs w:val="22"/>
              </w:rPr>
            </w:pPr>
            <w:r w:rsidRPr="00C04C4B">
              <w:rPr>
                <w:rFonts w:ascii="Garamond" w:hAnsi="Garamond" w:cs="Arial"/>
                <w:sz w:val="22"/>
                <w:szCs w:val="22"/>
              </w:rPr>
              <w:t>Razón de Cobertura de Intereses</w:t>
            </w:r>
          </w:p>
        </w:tc>
        <w:tc>
          <w:tcPr>
            <w:tcW w:w="4364" w:type="dxa"/>
            <w:tcBorders>
              <w:top w:val="single" w:sz="4" w:space="0" w:color="auto"/>
              <w:left w:val="single" w:sz="4" w:space="0" w:color="auto"/>
              <w:bottom w:val="single" w:sz="4" w:space="0" w:color="auto"/>
              <w:right w:val="double" w:sz="4" w:space="0" w:color="auto"/>
            </w:tcBorders>
            <w:vAlign w:val="center"/>
          </w:tcPr>
          <w:p w14:paraId="442B433E" w14:textId="77777777" w:rsidR="00C04C4B" w:rsidRPr="00C04C4B" w:rsidRDefault="00C04C4B" w:rsidP="00CE73D4">
            <w:pPr>
              <w:jc w:val="center"/>
              <w:rPr>
                <w:rFonts w:ascii="Garamond" w:hAnsi="Garamond" w:cs="Arial"/>
                <w:sz w:val="22"/>
                <w:szCs w:val="22"/>
              </w:rPr>
            </w:pPr>
            <m:oMathPara>
              <m:oMath>
                <m:f>
                  <m:fPr>
                    <m:ctrlPr>
                      <w:rPr>
                        <w:rFonts w:ascii="Cambria Math" w:hAnsi="Cambria Math" w:cs="Arial"/>
                        <w:sz w:val="22"/>
                        <w:szCs w:val="22"/>
                      </w:rPr>
                    </m:ctrlPr>
                  </m:fPr>
                  <m:num>
                    <m:r>
                      <m:rPr>
                        <m:sty m:val="p"/>
                      </m:rPr>
                      <w:rPr>
                        <w:rFonts w:ascii="Cambria Math" w:hAnsi="Cambria Math" w:cs="Arial"/>
                        <w:sz w:val="22"/>
                        <w:szCs w:val="22"/>
                      </w:rPr>
                      <m:t>Utilidad Operacional</m:t>
                    </m:r>
                  </m:num>
                  <m:den>
                    <m:r>
                      <m:rPr>
                        <m:sty m:val="p"/>
                      </m:rPr>
                      <w:rPr>
                        <w:rFonts w:ascii="Cambria Math" w:hAnsi="Cambria Math" w:cs="Arial"/>
                        <w:sz w:val="22"/>
                        <w:szCs w:val="22"/>
                      </w:rPr>
                      <m:t>Gastos Interes</m:t>
                    </m:r>
                  </m:den>
                </m:f>
              </m:oMath>
            </m:oMathPara>
          </w:p>
        </w:tc>
      </w:tr>
    </w:tbl>
    <w:p w14:paraId="2DB8DE4C" w14:textId="77777777" w:rsidR="00C04C4B" w:rsidRPr="00C04C4B" w:rsidRDefault="00C04C4B" w:rsidP="00C04C4B">
      <w:pPr>
        <w:rPr>
          <w:rFonts w:ascii="Garamond" w:hAnsi="Garamond" w:cs="Arial"/>
          <w:b/>
          <w:bCs/>
        </w:rPr>
      </w:pPr>
      <w:bookmarkStart w:id="306" w:name="_Hlk520284067"/>
      <w:bookmarkEnd w:id="305"/>
    </w:p>
    <w:p w14:paraId="2834CF98" w14:textId="77777777" w:rsidR="00C04C4B" w:rsidRPr="00C04C4B" w:rsidRDefault="00C04C4B" w:rsidP="00C04C4B">
      <w:pPr>
        <w:rPr>
          <w:rFonts w:ascii="Garamond" w:eastAsia="Arial" w:hAnsi="Garamond" w:cs="Arial"/>
        </w:rPr>
      </w:pPr>
      <w:r w:rsidRPr="00C04C4B">
        <w:rPr>
          <w:rFonts w:ascii="Garamond" w:hAnsi="Garamond" w:cs="Arial"/>
        </w:rPr>
        <w:t>Si el</w:t>
      </w:r>
      <w:r w:rsidRPr="00C04C4B">
        <w:rPr>
          <w:rFonts w:ascii="Garamond" w:eastAsia="Arial" w:hAnsi="Garamond" w:cs="Arial"/>
        </w:rPr>
        <w:t xml:space="preserve"> </w:t>
      </w:r>
      <w:r w:rsidRPr="00C04C4B">
        <w:rPr>
          <w:rFonts w:ascii="Garamond" w:hAnsi="Garamond" w:cs="Arial"/>
        </w:rPr>
        <w:t>Proponente</w:t>
      </w:r>
      <w:r w:rsidRPr="00C04C4B">
        <w:rPr>
          <w:rFonts w:ascii="Garamond" w:eastAsia="Arial" w:hAnsi="Garamond" w:cs="Arial"/>
        </w:rPr>
        <w:t xml:space="preserve"> es </w:t>
      </w:r>
      <w:r w:rsidRPr="00C04C4B">
        <w:rPr>
          <w:rFonts w:ascii="Garamond" w:hAnsi="Garamond" w:cs="Arial"/>
        </w:rPr>
        <w:t>plural</w:t>
      </w:r>
      <w:r w:rsidRPr="00C04C4B">
        <w:rPr>
          <w:rFonts w:ascii="Garamond" w:eastAsia="Arial" w:hAnsi="Garamond" w:cs="Arial"/>
        </w:rPr>
        <w:t xml:space="preserve"> </w:t>
      </w:r>
      <w:r w:rsidRPr="00C04C4B">
        <w:rPr>
          <w:rFonts w:ascii="Garamond" w:hAnsi="Garamond" w:cs="Arial"/>
        </w:rPr>
        <w:t>cada</w:t>
      </w:r>
      <w:r w:rsidRPr="00C04C4B">
        <w:rPr>
          <w:rFonts w:ascii="Garamond" w:eastAsia="Arial" w:hAnsi="Garamond" w:cs="Arial"/>
        </w:rPr>
        <w:t xml:space="preserve"> </w:t>
      </w:r>
      <w:r w:rsidRPr="00C04C4B">
        <w:rPr>
          <w:rFonts w:ascii="Garamond" w:hAnsi="Garamond" w:cs="Arial"/>
        </w:rPr>
        <w:t>indicador</w:t>
      </w:r>
      <w:r w:rsidRPr="00C04C4B">
        <w:rPr>
          <w:rFonts w:ascii="Garamond" w:eastAsia="Arial" w:hAnsi="Garamond" w:cs="Arial"/>
        </w:rPr>
        <w:t xml:space="preserve"> </w:t>
      </w:r>
      <w:r w:rsidRPr="00C04C4B">
        <w:rPr>
          <w:rFonts w:ascii="Garamond" w:hAnsi="Garamond" w:cs="Arial"/>
        </w:rPr>
        <w:t>debe</w:t>
      </w:r>
      <w:r w:rsidRPr="00C04C4B">
        <w:rPr>
          <w:rFonts w:ascii="Garamond" w:eastAsia="Arial" w:hAnsi="Garamond" w:cs="Arial"/>
        </w:rPr>
        <w:t xml:space="preserve"> </w:t>
      </w:r>
      <w:r w:rsidRPr="00C04C4B">
        <w:rPr>
          <w:rFonts w:ascii="Garamond" w:hAnsi="Garamond" w:cs="Arial"/>
        </w:rPr>
        <w:t>calcularse</w:t>
      </w:r>
      <w:r w:rsidRPr="00C04C4B">
        <w:rPr>
          <w:rFonts w:ascii="Garamond" w:eastAsia="Arial" w:hAnsi="Garamond" w:cs="Arial"/>
        </w:rPr>
        <w:t xml:space="preserve"> </w:t>
      </w:r>
      <w:r w:rsidRPr="00C04C4B">
        <w:rPr>
          <w:rFonts w:ascii="Garamond" w:hAnsi="Garamond" w:cs="Arial"/>
        </w:rPr>
        <w:t>así:</w:t>
      </w:r>
      <w:r w:rsidRPr="00C04C4B">
        <w:rPr>
          <w:rFonts w:ascii="Garamond" w:eastAsia="Arial" w:hAnsi="Garamond" w:cs="Arial"/>
        </w:rPr>
        <w:t xml:space="preserve"> </w:t>
      </w:r>
    </w:p>
    <w:p w14:paraId="0D0CC6B9" w14:textId="77777777" w:rsidR="00C04C4B" w:rsidRPr="00C04C4B" w:rsidRDefault="00C04C4B" w:rsidP="00C04C4B">
      <w:pPr>
        <w:rPr>
          <w:rFonts w:ascii="Garamond" w:eastAsia="Arial" w:hAnsi="Garamond" w:cs="Arial"/>
        </w:rPr>
      </w:pPr>
    </w:p>
    <w:p w14:paraId="3E306C24" w14:textId="77777777" w:rsidR="00C04C4B" w:rsidRPr="00C04C4B" w:rsidRDefault="00C04C4B" w:rsidP="00C04C4B">
      <w:pPr>
        <w:rPr>
          <w:rFonts w:ascii="Garamond" w:hAnsi="Garamond" w:cs="Arial"/>
        </w:rPr>
      </w:pPr>
      <m:oMathPara>
        <m:oMath>
          <m:r>
            <m:rPr>
              <m:sty m:val="p"/>
            </m:rPr>
            <w:rPr>
              <w:rFonts w:ascii="Cambria Math" w:hAnsi="Cambria Math" w:cs="Arial"/>
            </w:rPr>
            <m:t>Indicador =</m:t>
          </m:r>
          <m:f>
            <m:fPr>
              <m:ctrlPr>
                <w:rPr>
                  <w:rFonts w:ascii="Cambria Math" w:hAnsi="Cambria Math" w:cs="Arial"/>
                </w:rPr>
              </m:ctrlPr>
            </m:fPr>
            <m:num>
              <m:r>
                <w:rPr>
                  <w:rFonts w:ascii="Cambria Math" w:hAnsi="Cambria Math" w:cs="Arial"/>
                </w:rPr>
                <m:t>(</m:t>
              </m:r>
              <m:nary>
                <m:naryPr>
                  <m:chr m:val="∑"/>
                  <m:limLoc m:val="undOvr"/>
                  <m:ctrlPr>
                    <w:rPr>
                      <w:rFonts w:ascii="Cambria Math" w:hAnsi="Cambria Math" w:cs="Arial"/>
                    </w:rPr>
                  </m:ctrlPr>
                </m:naryPr>
                <m:sub>
                  <m:r>
                    <m:rPr>
                      <m:sty m:val="p"/>
                    </m:rPr>
                    <w:rPr>
                      <w:rFonts w:ascii="Cambria Math" w:hAnsi="Cambria Math" w:cs="Arial"/>
                    </w:rPr>
                    <m:t>i=1</m:t>
                  </m:r>
                </m:sub>
                <m:sup>
                  <m:r>
                    <m:rPr>
                      <m:sty m:val="p"/>
                    </m:rPr>
                    <w:rPr>
                      <w:rFonts w:ascii="Cambria Math" w:hAnsi="Cambria Math" w:cs="Arial"/>
                    </w:rPr>
                    <m:t>n</m:t>
                  </m:r>
                </m:sup>
                <m:e>
                  <m:sSub>
                    <m:sSubPr>
                      <m:ctrlPr>
                        <w:rPr>
                          <w:rFonts w:ascii="Cambria Math" w:hAnsi="Cambria Math" w:cs="Arial"/>
                        </w:rPr>
                      </m:ctrlPr>
                    </m:sSubPr>
                    <m:e>
                      <m:r>
                        <m:rPr>
                          <m:sty m:val="p"/>
                        </m:rPr>
                        <w:rPr>
                          <w:rFonts w:ascii="Cambria Math" w:hAnsi="Cambria Math" w:cs="Arial"/>
                        </w:rPr>
                        <m:t>Componente 1 del indicador</m:t>
                      </m:r>
                    </m:e>
                    <m:sub>
                      <m:r>
                        <m:rPr>
                          <m:sty m:val="p"/>
                        </m:rPr>
                        <w:rPr>
                          <w:rFonts w:ascii="Cambria Math" w:hAnsi="Cambria Math" w:cs="Arial"/>
                        </w:rPr>
                        <m:t>i</m:t>
                      </m:r>
                    </m:sub>
                  </m:sSub>
                  <m:r>
                    <m:rPr>
                      <m:sty m:val="p"/>
                    </m:rPr>
                    <w:rPr>
                      <w:rFonts w:ascii="Cambria Math" w:hAnsi="Cambria Math" w:cs="Arial"/>
                    </w:rPr>
                    <m:t xml:space="preserve">) </m:t>
                  </m:r>
                </m:e>
              </m:nary>
            </m:num>
            <m:den>
              <m:r>
                <w:rPr>
                  <w:rFonts w:ascii="Cambria Math" w:hAnsi="Cambria Math" w:cs="Arial"/>
                </w:rPr>
                <m:t>(</m:t>
              </m:r>
              <m:nary>
                <m:naryPr>
                  <m:chr m:val="∑"/>
                  <m:limLoc m:val="undOvr"/>
                  <m:ctrlPr>
                    <w:rPr>
                      <w:rFonts w:ascii="Cambria Math" w:hAnsi="Cambria Math" w:cs="Arial"/>
                    </w:rPr>
                  </m:ctrlPr>
                </m:naryPr>
                <m:sub>
                  <m:r>
                    <m:rPr>
                      <m:sty m:val="p"/>
                    </m:rPr>
                    <w:rPr>
                      <w:rFonts w:ascii="Cambria Math" w:hAnsi="Cambria Math" w:cs="Arial"/>
                    </w:rPr>
                    <m:t>i=1</m:t>
                  </m:r>
                </m:sub>
                <m:sup>
                  <m:r>
                    <m:rPr>
                      <m:sty m:val="p"/>
                    </m:rPr>
                    <w:rPr>
                      <w:rFonts w:ascii="Cambria Math" w:hAnsi="Cambria Math" w:cs="Arial"/>
                    </w:rPr>
                    <m:t>n</m:t>
                  </m:r>
                </m:sup>
                <m:e>
                  <m:sSub>
                    <m:sSubPr>
                      <m:ctrlPr>
                        <w:rPr>
                          <w:rFonts w:ascii="Cambria Math" w:hAnsi="Cambria Math" w:cs="Arial"/>
                        </w:rPr>
                      </m:ctrlPr>
                    </m:sSubPr>
                    <m:e>
                      <m:r>
                        <m:rPr>
                          <m:sty m:val="p"/>
                        </m:rPr>
                        <w:rPr>
                          <w:rFonts w:ascii="Cambria Math" w:hAnsi="Cambria Math" w:cs="Arial"/>
                        </w:rPr>
                        <m:t>Componente 2 del indicador</m:t>
                      </m:r>
                    </m:e>
                    <m:sub>
                      <m:r>
                        <m:rPr>
                          <m:sty m:val="p"/>
                        </m:rPr>
                        <w:rPr>
                          <w:rFonts w:ascii="Cambria Math" w:hAnsi="Cambria Math" w:cs="Arial"/>
                        </w:rPr>
                        <m:t>i</m:t>
                      </m:r>
                    </m:sub>
                  </m:sSub>
                  <m:r>
                    <m:rPr>
                      <m:sty m:val="p"/>
                    </m:rPr>
                    <w:rPr>
                      <w:rFonts w:ascii="Cambria Math" w:hAnsi="Cambria Math" w:cs="Arial"/>
                    </w:rPr>
                    <m:t xml:space="preserve">) </m:t>
                  </m:r>
                </m:e>
              </m:nary>
            </m:den>
          </m:f>
        </m:oMath>
      </m:oMathPara>
    </w:p>
    <w:p w14:paraId="62B17F1D" w14:textId="77777777" w:rsidR="00C04C4B" w:rsidRPr="00C04C4B" w:rsidRDefault="00C04C4B" w:rsidP="00C04C4B">
      <w:pPr>
        <w:jc w:val="both"/>
        <w:rPr>
          <w:rFonts w:ascii="Garamond" w:hAnsi="Garamond" w:cs="Arial"/>
        </w:rPr>
      </w:pPr>
    </w:p>
    <w:p w14:paraId="4E6653CD" w14:textId="77777777" w:rsidR="00C04C4B" w:rsidRPr="00C04C4B" w:rsidRDefault="00C04C4B" w:rsidP="00C04C4B">
      <w:pPr>
        <w:jc w:val="both"/>
        <w:rPr>
          <w:rFonts w:ascii="Garamond" w:eastAsia="Arial" w:hAnsi="Garamond" w:cs="Arial"/>
        </w:rPr>
      </w:pPr>
      <w:r w:rsidRPr="00C04C4B">
        <w:rPr>
          <w:rFonts w:ascii="Garamond" w:hAnsi="Garamond" w:cs="Arial"/>
        </w:rPr>
        <w:t>Donde</w:t>
      </w:r>
      <w:r w:rsidRPr="00C04C4B">
        <w:rPr>
          <w:rFonts w:ascii="Garamond" w:eastAsia="Arial" w:hAnsi="Garamond" w:cs="Arial"/>
        </w:rPr>
        <w:t xml:space="preserve"> </w:t>
      </w:r>
      <m:oMath>
        <m:r>
          <w:rPr>
            <w:rFonts w:ascii="Cambria Math" w:hAnsi="Cambria Math" w:cs="Arial"/>
          </w:rPr>
          <m:t>n</m:t>
        </m:r>
      </m:oMath>
      <w:r w:rsidRPr="00C04C4B">
        <w:rPr>
          <w:rFonts w:ascii="Garamond" w:eastAsia="Arial" w:hAnsi="Garamond" w:cs="Arial"/>
        </w:rPr>
        <w:t xml:space="preserve"> </w:t>
      </w:r>
      <w:r w:rsidRPr="00C04C4B">
        <w:rPr>
          <w:rFonts w:ascii="Garamond" w:hAnsi="Garamond" w:cs="Arial"/>
        </w:rPr>
        <w:t>es</w:t>
      </w:r>
      <w:r w:rsidRPr="00C04C4B">
        <w:rPr>
          <w:rFonts w:ascii="Garamond" w:eastAsia="Arial" w:hAnsi="Garamond" w:cs="Arial"/>
        </w:rPr>
        <w:t xml:space="preserve"> </w:t>
      </w:r>
      <w:r w:rsidRPr="00C04C4B">
        <w:rPr>
          <w:rFonts w:ascii="Garamond" w:hAnsi="Garamond" w:cs="Arial"/>
        </w:rPr>
        <w:t>el</w:t>
      </w:r>
      <w:r w:rsidRPr="00C04C4B">
        <w:rPr>
          <w:rFonts w:ascii="Garamond" w:eastAsia="Arial" w:hAnsi="Garamond" w:cs="Arial"/>
        </w:rPr>
        <w:t xml:space="preserve"> </w:t>
      </w:r>
      <w:r w:rsidRPr="00C04C4B">
        <w:rPr>
          <w:rFonts w:ascii="Garamond" w:hAnsi="Garamond" w:cs="Arial"/>
        </w:rPr>
        <w:t>número</w:t>
      </w:r>
      <w:r w:rsidRPr="00C04C4B">
        <w:rPr>
          <w:rFonts w:ascii="Garamond" w:eastAsia="Arial" w:hAnsi="Garamond" w:cs="Arial"/>
        </w:rPr>
        <w:t xml:space="preserve"> </w:t>
      </w:r>
      <w:r w:rsidRPr="00C04C4B">
        <w:rPr>
          <w:rFonts w:ascii="Garamond" w:hAnsi="Garamond" w:cs="Arial"/>
        </w:rPr>
        <w:t>de</w:t>
      </w:r>
      <w:r w:rsidRPr="00C04C4B">
        <w:rPr>
          <w:rFonts w:ascii="Garamond" w:eastAsia="Arial" w:hAnsi="Garamond" w:cs="Arial"/>
        </w:rPr>
        <w:t xml:space="preserve"> </w:t>
      </w:r>
      <w:r w:rsidRPr="00C04C4B">
        <w:rPr>
          <w:rFonts w:ascii="Garamond" w:hAnsi="Garamond" w:cs="Arial"/>
        </w:rPr>
        <w:t>integrantes</w:t>
      </w:r>
      <w:r w:rsidRPr="00C04C4B">
        <w:rPr>
          <w:rFonts w:ascii="Garamond" w:eastAsia="Arial" w:hAnsi="Garamond" w:cs="Arial"/>
        </w:rPr>
        <w:t xml:space="preserve"> </w:t>
      </w:r>
      <w:r w:rsidRPr="00C04C4B">
        <w:rPr>
          <w:rFonts w:ascii="Garamond" w:hAnsi="Garamond" w:cs="Arial"/>
        </w:rPr>
        <w:t>del</w:t>
      </w:r>
      <w:r w:rsidRPr="00C04C4B">
        <w:rPr>
          <w:rFonts w:ascii="Garamond" w:eastAsia="Arial" w:hAnsi="Garamond" w:cs="Arial"/>
        </w:rPr>
        <w:t xml:space="preserve"> </w:t>
      </w:r>
      <w:r w:rsidRPr="00C04C4B">
        <w:rPr>
          <w:rFonts w:ascii="Garamond" w:hAnsi="Garamond" w:cs="Arial"/>
        </w:rPr>
        <w:t>Proponente</w:t>
      </w:r>
      <w:r w:rsidRPr="00C04C4B">
        <w:rPr>
          <w:rFonts w:ascii="Garamond" w:eastAsia="Arial" w:hAnsi="Garamond" w:cs="Arial"/>
        </w:rPr>
        <w:t xml:space="preserve"> </w:t>
      </w:r>
      <w:r w:rsidRPr="00C04C4B">
        <w:rPr>
          <w:rFonts w:ascii="Garamond" w:hAnsi="Garamond" w:cs="Arial"/>
        </w:rPr>
        <w:t>Plural</w:t>
      </w:r>
      <w:r w:rsidRPr="00C04C4B">
        <w:rPr>
          <w:rFonts w:ascii="Garamond" w:eastAsia="Arial" w:hAnsi="Garamond" w:cs="Arial"/>
        </w:rPr>
        <w:t xml:space="preserve"> </w:t>
      </w:r>
      <w:r w:rsidRPr="00C04C4B">
        <w:rPr>
          <w:rFonts w:ascii="Garamond" w:hAnsi="Garamond" w:cs="Arial"/>
        </w:rPr>
        <w:t>(Unión</w:t>
      </w:r>
      <w:r w:rsidRPr="00C04C4B">
        <w:rPr>
          <w:rFonts w:ascii="Garamond" w:eastAsia="Arial" w:hAnsi="Garamond" w:cs="Arial"/>
        </w:rPr>
        <w:t xml:space="preserve"> </w:t>
      </w:r>
      <w:r w:rsidRPr="00C04C4B">
        <w:rPr>
          <w:rFonts w:ascii="Garamond" w:hAnsi="Garamond" w:cs="Arial"/>
        </w:rPr>
        <w:t>Temporal</w:t>
      </w:r>
      <w:r w:rsidRPr="00C04C4B">
        <w:rPr>
          <w:rFonts w:ascii="Garamond" w:eastAsia="Arial" w:hAnsi="Garamond" w:cs="Arial"/>
        </w:rPr>
        <w:t xml:space="preserve"> </w:t>
      </w:r>
      <w:r w:rsidRPr="00C04C4B">
        <w:rPr>
          <w:rFonts w:ascii="Garamond" w:hAnsi="Garamond" w:cs="Arial"/>
        </w:rPr>
        <w:t>o</w:t>
      </w:r>
      <w:r w:rsidRPr="00C04C4B">
        <w:rPr>
          <w:rFonts w:ascii="Garamond" w:eastAsia="Arial" w:hAnsi="Garamond" w:cs="Arial"/>
        </w:rPr>
        <w:t xml:space="preserve"> </w:t>
      </w:r>
      <w:r w:rsidRPr="00C04C4B">
        <w:rPr>
          <w:rFonts w:ascii="Garamond" w:hAnsi="Garamond" w:cs="Arial"/>
        </w:rPr>
        <w:t>Consorcio).</w:t>
      </w:r>
    </w:p>
    <w:p w14:paraId="46A9B843" w14:textId="77777777" w:rsidR="00C04C4B" w:rsidRPr="00C04C4B" w:rsidRDefault="00C04C4B" w:rsidP="00C04C4B">
      <w:pPr>
        <w:jc w:val="both"/>
        <w:rPr>
          <w:rFonts w:ascii="Garamond" w:hAnsi="Garamond" w:cs="Arial"/>
        </w:rPr>
      </w:pPr>
      <w:bookmarkStart w:id="307" w:name="_Hlk516153707"/>
    </w:p>
    <w:p w14:paraId="780EC58B" w14:textId="77777777" w:rsidR="00C04C4B" w:rsidRPr="00C04C4B" w:rsidRDefault="00C04C4B" w:rsidP="00C04C4B">
      <w:pPr>
        <w:jc w:val="both"/>
        <w:rPr>
          <w:rFonts w:ascii="Garamond" w:eastAsia="Arial" w:hAnsi="Garamond" w:cs="Arial"/>
        </w:rPr>
      </w:pPr>
      <w:r w:rsidRPr="00C04C4B">
        <w:rPr>
          <w:rFonts w:ascii="Garamond" w:hAnsi="Garamond" w:cs="Arial"/>
        </w:rPr>
        <w:t>El</w:t>
      </w:r>
      <w:r w:rsidRPr="00C04C4B">
        <w:rPr>
          <w:rFonts w:ascii="Garamond" w:eastAsia="Arial" w:hAnsi="Garamond" w:cs="Arial"/>
        </w:rPr>
        <w:t xml:space="preserve"> </w:t>
      </w:r>
      <w:r w:rsidRPr="00C04C4B">
        <w:rPr>
          <w:rFonts w:ascii="Garamond" w:hAnsi="Garamond" w:cs="Arial"/>
        </w:rPr>
        <w:t>Proponente</w:t>
      </w:r>
      <w:r w:rsidRPr="00C04C4B">
        <w:rPr>
          <w:rFonts w:ascii="Garamond" w:eastAsia="Arial" w:hAnsi="Garamond" w:cs="Arial"/>
        </w:rPr>
        <w:t xml:space="preserve"> </w:t>
      </w:r>
      <w:r w:rsidRPr="00C04C4B">
        <w:rPr>
          <w:rFonts w:ascii="Garamond" w:hAnsi="Garamond" w:cs="Arial"/>
        </w:rPr>
        <w:t>que</w:t>
      </w:r>
      <w:r w:rsidRPr="00C04C4B">
        <w:rPr>
          <w:rFonts w:ascii="Garamond" w:eastAsia="Arial" w:hAnsi="Garamond" w:cs="Arial"/>
        </w:rPr>
        <w:t xml:space="preserve"> </w:t>
      </w:r>
      <w:r w:rsidRPr="00C04C4B">
        <w:rPr>
          <w:rFonts w:ascii="Garamond" w:hAnsi="Garamond" w:cs="Arial"/>
        </w:rPr>
        <w:t>no</w:t>
      </w:r>
      <w:r w:rsidRPr="00C04C4B">
        <w:rPr>
          <w:rFonts w:ascii="Garamond" w:eastAsia="Arial" w:hAnsi="Garamond" w:cs="Arial"/>
        </w:rPr>
        <w:t xml:space="preserve"> </w:t>
      </w:r>
      <w:r w:rsidRPr="00C04C4B">
        <w:rPr>
          <w:rFonts w:ascii="Garamond" w:hAnsi="Garamond" w:cs="Arial"/>
        </w:rPr>
        <w:t>tiene</w:t>
      </w:r>
      <w:r w:rsidRPr="00C04C4B">
        <w:rPr>
          <w:rFonts w:ascii="Garamond" w:eastAsia="Arial" w:hAnsi="Garamond" w:cs="Arial"/>
        </w:rPr>
        <w:t xml:space="preserve"> </w:t>
      </w:r>
      <w:r w:rsidRPr="00C04C4B">
        <w:rPr>
          <w:rFonts w:ascii="Garamond" w:hAnsi="Garamond" w:cs="Arial"/>
        </w:rPr>
        <w:t>pasivos</w:t>
      </w:r>
      <w:r w:rsidRPr="00C04C4B">
        <w:rPr>
          <w:rFonts w:ascii="Garamond" w:eastAsia="Arial" w:hAnsi="Garamond" w:cs="Arial"/>
        </w:rPr>
        <w:t xml:space="preserve"> </w:t>
      </w:r>
      <w:r w:rsidRPr="00C04C4B">
        <w:rPr>
          <w:rFonts w:ascii="Garamond" w:hAnsi="Garamond" w:cs="Arial"/>
        </w:rPr>
        <w:t>corrientes</w:t>
      </w:r>
      <w:r w:rsidRPr="00C04C4B">
        <w:rPr>
          <w:rFonts w:ascii="Garamond" w:eastAsia="Arial" w:hAnsi="Garamond" w:cs="Arial"/>
        </w:rPr>
        <w:t xml:space="preserve"> </w:t>
      </w:r>
      <w:r w:rsidRPr="00C04C4B">
        <w:rPr>
          <w:rFonts w:ascii="Garamond" w:hAnsi="Garamond" w:cs="Arial"/>
        </w:rPr>
        <w:t>está</w:t>
      </w:r>
      <w:r w:rsidRPr="00C04C4B">
        <w:rPr>
          <w:rFonts w:ascii="Garamond" w:eastAsia="Arial" w:hAnsi="Garamond" w:cs="Arial"/>
        </w:rPr>
        <w:t xml:space="preserve"> </w:t>
      </w:r>
      <w:r w:rsidRPr="00C04C4B">
        <w:rPr>
          <w:rFonts w:ascii="Garamond" w:hAnsi="Garamond" w:cs="Arial"/>
        </w:rPr>
        <w:t>habilitado</w:t>
      </w:r>
      <w:r w:rsidRPr="00C04C4B">
        <w:rPr>
          <w:rFonts w:ascii="Garamond" w:eastAsia="Arial" w:hAnsi="Garamond" w:cs="Arial"/>
        </w:rPr>
        <w:t xml:space="preserve"> </w:t>
      </w:r>
      <w:r w:rsidRPr="00C04C4B">
        <w:rPr>
          <w:rFonts w:ascii="Garamond" w:hAnsi="Garamond" w:cs="Arial"/>
        </w:rPr>
        <w:t>respecto</w:t>
      </w:r>
      <w:r w:rsidRPr="00C04C4B">
        <w:rPr>
          <w:rFonts w:ascii="Garamond" w:eastAsia="Arial" w:hAnsi="Garamond" w:cs="Arial"/>
        </w:rPr>
        <w:t xml:space="preserve"> </w:t>
      </w:r>
      <w:r w:rsidRPr="00C04C4B">
        <w:rPr>
          <w:rFonts w:ascii="Garamond" w:hAnsi="Garamond" w:cs="Arial"/>
        </w:rPr>
        <w:t>del</w:t>
      </w:r>
      <w:r w:rsidRPr="00C04C4B">
        <w:rPr>
          <w:rFonts w:ascii="Garamond" w:eastAsia="Arial" w:hAnsi="Garamond" w:cs="Arial"/>
        </w:rPr>
        <w:t xml:space="preserve"> </w:t>
      </w:r>
      <w:r w:rsidRPr="00C04C4B">
        <w:rPr>
          <w:rFonts w:ascii="Garamond" w:hAnsi="Garamond" w:cs="Arial"/>
        </w:rPr>
        <w:t>índice</w:t>
      </w:r>
      <w:r w:rsidRPr="00C04C4B">
        <w:rPr>
          <w:rFonts w:ascii="Garamond" w:eastAsia="Arial" w:hAnsi="Garamond" w:cs="Arial"/>
        </w:rPr>
        <w:t xml:space="preserve"> </w:t>
      </w:r>
      <w:r w:rsidRPr="00C04C4B">
        <w:rPr>
          <w:rFonts w:ascii="Garamond" w:hAnsi="Garamond" w:cs="Arial"/>
        </w:rPr>
        <w:t>de</w:t>
      </w:r>
      <w:r w:rsidRPr="00C04C4B">
        <w:rPr>
          <w:rFonts w:ascii="Garamond" w:eastAsia="Arial" w:hAnsi="Garamond" w:cs="Arial"/>
        </w:rPr>
        <w:t xml:space="preserve"> </w:t>
      </w:r>
      <w:r w:rsidRPr="00C04C4B">
        <w:rPr>
          <w:rFonts w:ascii="Garamond" w:hAnsi="Garamond" w:cs="Arial"/>
        </w:rPr>
        <w:t>liquidez.</w:t>
      </w:r>
      <w:r w:rsidRPr="00C04C4B">
        <w:rPr>
          <w:rFonts w:ascii="Garamond" w:eastAsia="Arial" w:hAnsi="Garamond" w:cs="Arial"/>
        </w:rPr>
        <w:t xml:space="preserve"> </w:t>
      </w:r>
    </w:p>
    <w:p w14:paraId="69BD5237" w14:textId="77777777" w:rsidR="00C04C4B" w:rsidRPr="00C04C4B" w:rsidRDefault="00C04C4B" w:rsidP="00C04C4B">
      <w:pPr>
        <w:jc w:val="both"/>
        <w:rPr>
          <w:rFonts w:ascii="Garamond" w:hAnsi="Garamond" w:cs="Arial"/>
        </w:rPr>
      </w:pPr>
    </w:p>
    <w:p w14:paraId="1F07F767" w14:textId="77777777" w:rsidR="00C04C4B" w:rsidRPr="00C04C4B" w:rsidRDefault="00C04C4B" w:rsidP="00C04C4B">
      <w:pPr>
        <w:jc w:val="both"/>
        <w:rPr>
          <w:rFonts w:ascii="Garamond" w:eastAsia="Arial" w:hAnsi="Garamond" w:cs="Arial"/>
        </w:rPr>
      </w:pPr>
      <w:r w:rsidRPr="00C04C4B">
        <w:rPr>
          <w:rFonts w:ascii="Garamond" w:hAnsi="Garamond" w:cs="Arial"/>
        </w:rPr>
        <w:t>El</w:t>
      </w:r>
      <w:r w:rsidRPr="00C04C4B">
        <w:rPr>
          <w:rFonts w:ascii="Garamond" w:eastAsia="Arial" w:hAnsi="Garamond" w:cs="Arial"/>
        </w:rPr>
        <w:t xml:space="preserve"> </w:t>
      </w:r>
      <w:r w:rsidRPr="00C04C4B">
        <w:rPr>
          <w:rFonts w:ascii="Garamond" w:hAnsi="Garamond" w:cs="Arial"/>
        </w:rPr>
        <w:t>Proponente</w:t>
      </w:r>
      <w:r w:rsidRPr="00C04C4B">
        <w:rPr>
          <w:rFonts w:ascii="Garamond" w:eastAsia="Arial" w:hAnsi="Garamond" w:cs="Arial"/>
        </w:rPr>
        <w:t xml:space="preserve"> </w:t>
      </w:r>
      <w:r w:rsidRPr="00C04C4B">
        <w:rPr>
          <w:rFonts w:ascii="Garamond" w:hAnsi="Garamond" w:cs="Arial"/>
        </w:rPr>
        <w:t>que</w:t>
      </w:r>
      <w:r w:rsidRPr="00C04C4B">
        <w:rPr>
          <w:rFonts w:ascii="Garamond" w:eastAsia="Arial" w:hAnsi="Garamond" w:cs="Arial"/>
        </w:rPr>
        <w:t xml:space="preserve"> </w:t>
      </w:r>
      <w:r w:rsidRPr="00C04C4B">
        <w:rPr>
          <w:rFonts w:ascii="Garamond" w:hAnsi="Garamond" w:cs="Arial"/>
        </w:rPr>
        <w:t>no</w:t>
      </w:r>
      <w:r w:rsidRPr="00C04C4B">
        <w:rPr>
          <w:rFonts w:ascii="Garamond" w:eastAsia="Arial" w:hAnsi="Garamond" w:cs="Arial"/>
        </w:rPr>
        <w:t xml:space="preserve"> </w:t>
      </w:r>
      <w:r w:rsidRPr="00C04C4B">
        <w:rPr>
          <w:rFonts w:ascii="Garamond" w:hAnsi="Garamond" w:cs="Arial"/>
        </w:rPr>
        <w:t>tiene</w:t>
      </w:r>
      <w:r w:rsidRPr="00C04C4B">
        <w:rPr>
          <w:rFonts w:ascii="Garamond" w:eastAsia="Arial" w:hAnsi="Garamond" w:cs="Arial"/>
        </w:rPr>
        <w:t xml:space="preserve"> </w:t>
      </w:r>
      <w:r w:rsidRPr="00C04C4B">
        <w:rPr>
          <w:rFonts w:ascii="Garamond" w:hAnsi="Garamond" w:cs="Arial"/>
        </w:rPr>
        <w:t>gastos</w:t>
      </w:r>
      <w:r w:rsidRPr="00C04C4B">
        <w:rPr>
          <w:rFonts w:ascii="Garamond" w:eastAsia="Arial" w:hAnsi="Garamond" w:cs="Arial"/>
        </w:rPr>
        <w:t xml:space="preserve"> </w:t>
      </w:r>
      <w:r w:rsidRPr="00C04C4B">
        <w:rPr>
          <w:rFonts w:ascii="Garamond" w:hAnsi="Garamond" w:cs="Arial"/>
        </w:rPr>
        <w:t>de</w:t>
      </w:r>
      <w:r w:rsidRPr="00C04C4B">
        <w:rPr>
          <w:rFonts w:ascii="Garamond" w:eastAsia="Arial" w:hAnsi="Garamond" w:cs="Arial"/>
        </w:rPr>
        <w:t xml:space="preserve"> </w:t>
      </w:r>
      <w:r w:rsidRPr="00C04C4B">
        <w:rPr>
          <w:rFonts w:ascii="Garamond" w:hAnsi="Garamond" w:cs="Arial"/>
        </w:rPr>
        <w:t>intereses</w:t>
      </w:r>
      <w:r w:rsidRPr="00C04C4B">
        <w:rPr>
          <w:rFonts w:ascii="Garamond" w:eastAsia="Arial" w:hAnsi="Garamond" w:cs="Arial"/>
        </w:rPr>
        <w:t xml:space="preserve"> </w:t>
      </w:r>
      <w:r w:rsidRPr="00C04C4B">
        <w:rPr>
          <w:rFonts w:ascii="Garamond" w:hAnsi="Garamond" w:cs="Arial"/>
        </w:rPr>
        <w:t>está</w:t>
      </w:r>
      <w:r w:rsidRPr="00C04C4B">
        <w:rPr>
          <w:rFonts w:ascii="Garamond" w:eastAsia="Arial" w:hAnsi="Garamond" w:cs="Arial"/>
        </w:rPr>
        <w:t xml:space="preserve"> </w:t>
      </w:r>
      <w:r w:rsidRPr="00C04C4B">
        <w:rPr>
          <w:rFonts w:ascii="Garamond" w:hAnsi="Garamond" w:cs="Arial"/>
        </w:rPr>
        <w:t>habilitado</w:t>
      </w:r>
      <w:r w:rsidRPr="00C04C4B">
        <w:rPr>
          <w:rFonts w:ascii="Garamond" w:eastAsia="Arial" w:hAnsi="Garamond" w:cs="Arial"/>
        </w:rPr>
        <w:t xml:space="preserve"> </w:t>
      </w:r>
      <w:r w:rsidRPr="00C04C4B">
        <w:rPr>
          <w:rFonts w:ascii="Garamond" w:hAnsi="Garamond" w:cs="Arial"/>
        </w:rPr>
        <w:t>respecto</w:t>
      </w:r>
      <w:r w:rsidRPr="00C04C4B">
        <w:rPr>
          <w:rFonts w:ascii="Garamond" w:eastAsia="Arial" w:hAnsi="Garamond" w:cs="Arial"/>
        </w:rPr>
        <w:t xml:space="preserve"> </w:t>
      </w:r>
      <w:r w:rsidRPr="00C04C4B">
        <w:rPr>
          <w:rFonts w:ascii="Garamond" w:hAnsi="Garamond" w:cs="Arial"/>
        </w:rPr>
        <w:t>de</w:t>
      </w:r>
      <w:r w:rsidRPr="00C04C4B">
        <w:rPr>
          <w:rFonts w:ascii="Garamond" w:eastAsia="Arial" w:hAnsi="Garamond" w:cs="Arial"/>
        </w:rPr>
        <w:t xml:space="preserve"> </w:t>
      </w:r>
      <w:r w:rsidRPr="00C04C4B">
        <w:rPr>
          <w:rFonts w:ascii="Garamond" w:hAnsi="Garamond" w:cs="Arial"/>
        </w:rPr>
        <w:t>la</w:t>
      </w:r>
      <w:r w:rsidRPr="00C04C4B">
        <w:rPr>
          <w:rFonts w:ascii="Garamond" w:eastAsia="Arial" w:hAnsi="Garamond" w:cs="Arial"/>
        </w:rPr>
        <w:t xml:space="preserve"> </w:t>
      </w:r>
      <w:r w:rsidRPr="00C04C4B">
        <w:rPr>
          <w:rFonts w:ascii="Garamond" w:hAnsi="Garamond" w:cs="Arial"/>
        </w:rPr>
        <w:t>razón</w:t>
      </w:r>
      <w:r w:rsidRPr="00C04C4B">
        <w:rPr>
          <w:rFonts w:ascii="Garamond" w:eastAsia="Arial" w:hAnsi="Garamond" w:cs="Arial"/>
        </w:rPr>
        <w:t xml:space="preserve"> </w:t>
      </w:r>
      <w:r w:rsidRPr="00C04C4B">
        <w:rPr>
          <w:rFonts w:ascii="Garamond" w:hAnsi="Garamond" w:cs="Arial"/>
        </w:rPr>
        <w:t>de</w:t>
      </w:r>
      <w:r w:rsidRPr="00C04C4B">
        <w:rPr>
          <w:rFonts w:ascii="Garamond" w:eastAsia="Arial" w:hAnsi="Garamond" w:cs="Arial"/>
        </w:rPr>
        <w:t xml:space="preserve"> </w:t>
      </w:r>
      <w:r w:rsidRPr="00C04C4B">
        <w:rPr>
          <w:rFonts w:ascii="Garamond" w:hAnsi="Garamond" w:cs="Arial"/>
        </w:rPr>
        <w:t>cobertura</w:t>
      </w:r>
      <w:r w:rsidRPr="00C04C4B">
        <w:rPr>
          <w:rFonts w:ascii="Garamond" w:eastAsia="Arial" w:hAnsi="Garamond" w:cs="Arial"/>
        </w:rPr>
        <w:t xml:space="preserve"> </w:t>
      </w:r>
      <w:r w:rsidRPr="00C04C4B">
        <w:rPr>
          <w:rFonts w:ascii="Garamond" w:hAnsi="Garamond" w:cs="Arial"/>
        </w:rPr>
        <w:t>de</w:t>
      </w:r>
      <w:r w:rsidRPr="00C04C4B">
        <w:rPr>
          <w:rFonts w:ascii="Garamond" w:eastAsia="Arial" w:hAnsi="Garamond" w:cs="Arial"/>
        </w:rPr>
        <w:t xml:space="preserve"> </w:t>
      </w:r>
      <w:r w:rsidRPr="00C04C4B">
        <w:rPr>
          <w:rFonts w:ascii="Garamond" w:hAnsi="Garamond" w:cs="Arial"/>
        </w:rPr>
        <w:t xml:space="preserve">intereses, siempre y cuando la Utilidad Operacional sea igual o mayor a cero (0). </w:t>
      </w:r>
    </w:p>
    <w:p w14:paraId="0FAAE1B8" w14:textId="77777777" w:rsidR="00C04C4B" w:rsidRPr="00C04C4B" w:rsidRDefault="00C04C4B" w:rsidP="00C04C4B">
      <w:pPr>
        <w:jc w:val="both"/>
        <w:rPr>
          <w:rFonts w:ascii="Garamond" w:eastAsia="Arial" w:hAnsi="Garamond" w:cs="Arial"/>
        </w:rPr>
      </w:pPr>
    </w:p>
    <w:p w14:paraId="29A20545" w14:textId="77777777" w:rsidR="00C04C4B" w:rsidRPr="00C04C4B" w:rsidRDefault="00C04C4B" w:rsidP="00C04C4B">
      <w:pPr>
        <w:jc w:val="both"/>
        <w:rPr>
          <w:rFonts w:ascii="Garamond" w:eastAsia="Arial" w:hAnsi="Garamond" w:cs="Arial"/>
        </w:rPr>
      </w:pPr>
      <w:r w:rsidRPr="00C04C4B">
        <w:rPr>
          <w:rFonts w:ascii="Garamond" w:eastAsia="Arial" w:hAnsi="Garamond" w:cs="Arial"/>
        </w:rPr>
        <w:t xml:space="preserve">El Proponente que demuestre la condición de </w:t>
      </w:r>
      <w:proofErr w:type="spellStart"/>
      <w:r w:rsidRPr="00C04C4B">
        <w:rPr>
          <w:rFonts w:ascii="Garamond" w:eastAsia="Arial" w:hAnsi="Garamond" w:cs="Arial"/>
        </w:rPr>
        <w:t>Mipyme</w:t>
      </w:r>
      <w:proofErr w:type="spellEnd"/>
      <w:r w:rsidRPr="00C04C4B">
        <w:rPr>
          <w:rFonts w:ascii="Garamond" w:eastAsia="Arial" w:hAnsi="Garamond" w:cs="Arial"/>
        </w:rPr>
        <w:t xml:space="preserve"> domiciliada en Colombia acreditará la Capacidad Financiera de acuerdo con los indicadores señalados en la “Matriz 2 – Indicadores financieros y organizacionales”. El Proponente acreditará la calidad de </w:t>
      </w:r>
      <w:proofErr w:type="spellStart"/>
      <w:r w:rsidRPr="00C04C4B">
        <w:rPr>
          <w:rFonts w:ascii="Garamond" w:eastAsia="Arial" w:hAnsi="Garamond" w:cs="Arial"/>
        </w:rPr>
        <w:t>Mipyme</w:t>
      </w:r>
      <w:proofErr w:type="spellEnd"/>
      <w:r w:rsidRPr="00C04C4B">
        <w:rPr>
          <w:rFonts w:ascii="Garamond" w:eastAsia="Arial" w:hAnsi="Garamond" w:cs="Arial"/>
        </w:rPr>
        <w:t xml:space="preserve"> con copia del certificado del Registro Único de Proponentes (</w:t>
      </w:r>
      <w:proofErr w:type="spellStart"/>
      <w:r w:rsidRPr="00C04C4B">
        <w:rPr>
          <w:rFonts w:ascii="Garamond" w:eastAsia="Arial" w:hAnsi="Garamond" w:cs="Arial"/>
        </w:rPr>
        <w:t>RUP</w:t>
      </w:r>
      <w:proofErr w:type="spellEnd"/>
      <w:r w:rsidRPr="00C04C4B">
        <w:rPr>
          <w:rFonts w:ascii="Garamond" w:eastAsia="Arial" w:hAnsi="Garamond" w:cs="Arial"/>
        </w:rPr>
        <w:t xml:space="preserve">), el cual deberá encontrarse vigente y en firme al momento de su presentación. </w:t>
      </w:r>
    </w:p>
    <w:p w14:paraId="47B0EF19" w14:textId="77777777" w:rsidR="00C04C4B" w:rsidRPr="00C04C4B" w:rsidRDefault="00C04C4B" w:rsidP="00C04C4B">
      <w:pPr>
        <w:jc w:val="both"/>
        <w:rPr>
          <w:rFonts w:ascii="Garamond" w:eastAsia="Arial" w:hAnsi="Garamond" w:cs="Arial"/>
        </w:rPr>
      </w:pPr>
    </w:p>
    <w:p w14:paraId="69D17369" w14:textId="3502F6E4" w:rsidR="00C04C4B" w:rsidRPr="00C04C4B" w:rsidRDefault="00C04C4B" w:rsidP="00A23238">
      <w:pPr>
        <w:pStyle w:val="Capitulo1"/>
        <w:numPr>
          <w:ilvl w:val="1"/>
          <w:numId w:val="54"/>
        </w:numPr>
        <w:tabs>
          <w:tab w:val="left" w:pos="851"/>
        </w:tabs>
        <w:spacing w:line="240" w:lineRule="auto"/>
        <w:jc w:val="both"/>
        <w:rPr>
          <w:rFonts w:ascii="Garamond" w:eastAsia="Arial" w:hAnsi="Garamond"/>
          <w:color w:val="auto"/>
          <w:sz w:val="22"/>
          <w:szCs w:val="22"/>
        </w:rPr>
      </w:pPr>
      <w:bookmarkStart w:id="308" w:name="_Toc518033892"/>
      <w:bookmarkStart w:id="309" w:name="_Toc518033893"/>
      <w:bookmarkStart w:id="310" w:name="_Toc518033894"/>
      <w:bookmarkStart w:id="311" w:name="_Toc511924795"/>
      <w:bookmarkStart w:id="312" w:name="_Toc520226884"/>
      <w:bookmarkStart w:id="313" w:name="_Toc520297854"/>
      <w:bookmarkStart w:id="314" w:name="_Toc520317119"/>
      <w:bookmarkStart w:id="315" w:name="_Toc533083722"/>
      <w:bookmarkStart w:id="316" w:name="_Toc35616390"/>
      <w:bookmarkStart w:id="317" w:name="_Toc40113352"/>
      <w:bookmarkStart w:id="318" w:name="_Toc108082915"/>
      <w:bookmarkStart w:id="319" w:name="_Toc215132443"/>
      <w:bookmarkEnd w:id="306"/>
      <w:bookmarkEnd w:id="307"/>
      <w:bookmarkEnd w:id="308"/>
      <w:bookmarkEnd w:id="309"/>
      <w:bookmarkEnd w:id="310"/>
      <w:r w:rsidRPr="00C04C4B">
        <w:rPr>
          <w:rFonts w:ascii="Garamond" w:eastAsia="Arial" w:hAnsi="Garamond"/>
          <w:color w:val="auto"/>
          <w:sz w:val="22"/>
          <w:szCs w:val="22"/>
        </w:rPr>
        <w:t>CAPITAL DE TRABAJO</w:t>
      </w:r>
      <w:bookmarkEnd w:id="311"/>
      <w:bookmarkEnd w:id="312"/>
      <w:bookmarkEnd w:id="313"/>
      <w:bookmarkEnd w:id="314"/>
      <w:bookmarkEnd w:id="315"/>
      <w:bookmarkEnd w:id="316"/>
      <w:bookmarkEnd w:id="317"/>
      <w:bookmarkEnd w:id="318"/>
      <w:bookmarkEnd w:id="319"/>
    </w:p>
    <w:p w14:paraId="2345817A" w14:textId="77777777" w:rsidR="00C04C4B" w:rsidRPr="00C04C4B" w:rsidRDefault="00C04C4B" w:rsidP="00C04C4B">
      <w:pPr>
        <w:jc w:val="both"/>
        <w:rPr>
          <w:rFonts w:ascii="Garamond" w:hAnsi="Garamond" w:cs="Arial"/>
        </w:rPr>
      </w:pPr>
      <w:r w:rsidRPr="00C04C4B">
        <w:rPr>
          <w:rFonts w:ascii="Garamond" w:hAnsi="Garamond" w:cs="Arial"/>
        </w:rPr>
        <w:t xml:space="preserve">Para el Proceso de Contratación los Proponentes deberán acreditar: </w:t>
      </w:r>
    </w:p>
    <w:p w14:paraId="3C84E23D" w14:textId="77777777" w:rsidR="00C04C4B" w:rsidRPr="00C04C4B" w:rsidRDefault="00C04C4B" w:rsidP="00C04C4B">
      <w:pPr>
        <w:pStyle w:val="Prrafodelista"/>
        <w:autoSpaceDE w:val="0"/>
        <w:autoSpaceDN w:val="0"/>
        <w:adjustRightInd w:val="0"/>
        <w:spacing w:before="120" w:after="240"/>
        <w:ind w:left="360"/>
        <w:jc w:val="center"/>
        <w:rPr>
          <w:rFonts w:ascii="Garamond" w:eastAsiaTheme="minorEastAsia" w:hAnsi="Garamond" w:cs="Arial"/>
          <w:lang w:val="en-US"/>
        </w:rPr>
      </w:pPr>
      <w:r w:rsidRPr="00C04C4B">
        <w:rPr>
          <w:rFonts w:ascii="Garamond" w:eastAsiaTheme="minorEastAsia" w:hAnsi="Garamond" w:cs="Arial"/>
          <w:lang w:val="en-US"/>
        </w:rPr>
        <w:t xml:space="preserve">CT = AC - PC ≥ </w:t>
      </w:r>
      <w:proofErr w:type="spellStart"/>
      <w:r w:rsidRPr="00C04C4B">
        <w:rPr>
          <w:rFonts w:ascii="Garamond" w:eastAsiaTheme="minorEastAsia" w:hAnsi="Garamond" w:cs="Arial"/>
          <w:lang w:val="en-US"/>
        </w:rPr>
        <w:t>CTd</w:t>
      </w:r>
      <w:proofErr w:type="spellEnd"/>
    </w:p>
    <w:p w14:paraId="50E80B7C" w14:textId="77777777" w:rsidR="00C04C4B" w:rsidRPr="00C04C4B" w:rsidRDefault="00C04C4B" w:rsidP="00C04C4B">
      <w:pPr>
        <w:autoSpaceDE w:val="0"/>
        <w:autoSpaceDN w:val="0"/>
        <w:adjustRightInd w:val="0"/>
        <w:spacing w:before="120" w:after="240"/>
        <w:jc w:val="both"/>
        <w:rPr>
          <w:rFonts w:ascii="Garamond" w:hAnsi="Garamond" w:cs="Arial"/>
          <w:lang w:val="en-US"/>
        </w:rPr>
      </w:pPr>
      <w:proofErr w:type="spellStart"/>
      <w:r w:rsidRPr="00C04C4B">
        <w:rPr>
          <w:rFonts w:ascii="Garamond" w:hAnsi="Garamond" w:cs="Arial"/>
          <w:lang w:val="en-US"/>
        </w:rPr>
        <w:t>Donde</w:t>
      </w:r>
      <w:proofErr w:type="spellEnd"/>
      <w:r w:rsidRPr="00C04C4B">
        <w:rPr>
          <w:rFonts w:ascii="Garamond" w:hAnsi="Garamond" w:cs="Arial"/>
          <w:lang w:val="en-US"/>
        </w:rPr>
        <w:t>,</w:t>
      </w:r>
    </w:p>
    <w:p w14:paraId="710D7F44" w14:textId="77777777" w:rsidR="00C04C4B" w:rsidRPr="00C04C4B" w:rsidRDefault="00C04C4B" w:rsidP="00C04C4B">
      <w:pPr>
        <w:autoSpaceDE w:val="0"/>
        <w:autoSpaceDN w:val="0"/>
        <w:adjustRightInd w:val="0"/>
        <w:spacing w:before="120" w:after="240"/>
        <w:ind w:left="708"/>
        <w:jc w:val="both"/>
        <w:rPr>
          <w:rFonts w:ascii="Garamond" w:hAnsi="Garamond" w:cs="Arial"/>
        </w:rPr>
      </w:pPr>
      <w:proofErr w:type="spellStart"/>
      <w:r w:rsidRPr="00C04C4B">
        <w:rPr>
          <w:rFonts w:ascii="Garamond" w:hAnsi="Garamond" w:cs="Arial"/>
        </w:rPr>
        <w:t>CT</w:t>
      </w:r>
      <w:proofErr w:type="spellEnd"/>
      <w:r w:rsidRPr="00C04C4B">
        <w:rPr>
          <w:rFonts w:ascii="Garamond" w:hAnsi="Garamond" w:cs="Arial"/>
        </w:rPr>
        <w:t xml:space="preserve"> = Capital de trabajo</w:t>
      </w:r>
    </w:p>
    <w:p w14:paraId="2DD85122" w14:textId="77777777" w:rsidR="00C04C4B" w:rsidRPr="00C04C4B" w:rsidRDefault="00C04C4B" w:rsidP="00C04C4B">
      <w:pPr>
        <w:autoSpaceDE w:val="0"/>
        <w:autoSpaceDN w:val="0"/>
        <w:adjustRightInd w:val="0"/>
        <w:spacing w:before="120" w:after="240"/>
        <w:ind w:left="708"/>
        <w:jc w:val="both"/>
        <w:rPr>
          <w:rFonts w:ascii="Garamond" w:hAnsi="Garamond" w:cs="Arial"/>
        </w:rPr>
      </w:pPr>
      <w:r w:rsidRPr="00C04C4B">
        <w:rPr>
          <w:rFonts w:ascii="Garamond" w:hAnsi="Garamond" w:cs="Arial"/>
        </w:rPr>
        <w:t>AC = Activo corriente</w:t>
      </w:r>
    </w:p>
    <w:p w14:paraId="5EAD61E3" w14:textId="77777777" w:rsidR="00C04C4B" w:rsidRPr="00C04C4B" w:rsidRDefault="00C04C4B" w:rsidP="00C04C4B">
      <w:pPr>
        <w:autoSpaceDE w:val="0"/>
        <w:autoSpaceDN w:val="0"/>
        <w:adjustRightInd w:val="0"/>
        <w:spacing w:before="120" w:after="240"/>
        <w:ind w:left="708"/>
        <w:jc w:val="both"/>
        <w:rPr>
          <w:rFonts w:ascii="Garamond" w:hAnsi="Garamond" w:cs="Arial"/>
        </w:rPr>
      </w:pPr>
      <w:r w:rsidRPr="00C04C4B">
        <w:rPr>
          <w:rFonts w:ascii="Garamond" w:hAnsi="Garamond" w:cs="Arial"/>
        </w:rPr>
        <w:t>PC = Pasivo corriente</w:t>
      </w:r>
    </w:p>
    <w:p w14:paraId="3C9127D1" w14:textId="77777777" w:rsidR="00C04C4B" w:rsidRPr="00C04C4B" w:rsidRDefault="00C04C4B" w:rsidP="00C04C4B">
      <w:pPr>
        <w:autoSpaceDE w:val="0"/>
        <w:autoSpaceDN w:val="0"/>
        <w:adjustRightInd w:val="0"/>
        <w:spacing w:before="120" w:after="240"/>
        <w:ind w:left="708"/>
        <w:jc w:val="both"/>
        <w:rPr>
          <w:rFonts w:ascii="Garamond" w:hAnsi="Garamond" w:cs="Arial"/>
        </w:rPr>
      </w:pPr>
      <w:proofErr w:type="spellStart"/>
      <w:r w:rsidRPr="00C04C4B">
        <w:rPr>
          <w:rFonts w:ascii="Garamond" w:hAnsi="Garamond" w:cs="Arial"/>
        </w:rPr>
        <w:t>CTd</w:t>
      </w:r>
      <w:proofErr w:type="spellEnd"/>
      <w:r w:rsidRPr="00C04C4B">
        <w:rPr>
          <w:rFonts w:ascii="Garamond" w:hAnsi="Garamond" w:cs="Arial"/>
        </w:rPr>
        <w:t xml:space="preserve"> = Capital de Trabajo demandado (requerido) para el proceso que presenta la propuesta</w:t>
      </w:r>
    </w:p>
    <w:p w14:paraId="27B15B6A" w14:textId="77777777" w:rsidR="00C04C4B" w:rsidRPr="00C04C4B" w:rsidRDefault="00C04C4B" w:rsidP="00C04C4B">
      <w:pPr>
        <w:autoSpaceDE w:val="0"/>
        <w:autoSpaceDN w:val="0"/>
        <w:adjustRightInd w:val="0"/>
        <w:spacing w:before="120" w:after="240"/>
        <w:jc w:val="both"/>
        <w:rPr>
          <w:rFonts w:ascii="Garamond" w:hAnsi="Garamond" w:cs="Arial"/>
        </w:rPr>
      </w:pPr>
      <w:r w:rsidRPr="00C04C4B">
        <w:rPr>
          <w:rFonts w:ascii="Garamond" w:hAnsi="Garamond" w:cs="Arial"/>
        </w:rPr>
        <w:t>El capital de trabajo (</w:t>
      </w:r>
      <w:proofErr w:type="spellStart"/>
      <w:r w:rsidRPr="00C04C4B">
        <w:rPr>
          <w:rFonts w:ascii="Garamond" w:hAnsi="Garamond" w:cs="Arial"/>
        </w:rPr>
        <w:t>CT</w:t>
      </w:r>
      <w:proofErr w:type="spellEnd"/>
      <w:r w:rsidRPr="00C04C4B">
        <w:rPr>
          <w:rFonts w:ascii="Garamond" w:hAnsi="Garamond" w:cs="Arial"/>
        </w:rPr>
        <w:t>) del oferente deberá ser mayor o igual al capital de trabajo demandado (requerido) (</w:t>
      </w:r>
      <w:proofErr w:type="spellStart"/>
      <w:r w:rsidRPr="00C04C4B">
        <w:rPr>
          <w:rFonts w:ascii="Garamond" w:hAnsi="Garamond" w:cs="Arial"/>
        </w:rPr>
        <w:t>CTd</w:t>
      </w:r>
      <w:proofErr w:type="spellEnd"/>
      <w:r w:rsidRPr="00C04C4B">
        <w:rPr>
          <w:rFonts w:ascii="Garamond" w:hAnsi="Garamond" w:cs="Arial"/>
        </w:rPr>
        <w:t xml:space="preserve">): </w:t>
      </w:r>
    </w:p>
    <w:p w14:paraId="5A0CA6DB" w14:textId="77777777" w:rsidR="00C04C4B" w:rsidRPr="00C04C4B" w:rsidRDefault="00C04C4B" w:rsidP="00C04C4B">
      <w:pPr>
        <w:autoSpaceDE w:val="0"/>
        <w:autoSpaceDN w:val="0"/>
        <w:adjustRightInd w:val="0"/>
        <w:spacing w:before="120" w:after="240"/>
        <w:jc w:val="center"/>
        <w:rPr>
          <w:rFonts w:ascii="Garamond" w:hAnsi="Garamond" w:cs="Arial"/>
        </w:rPr>
      </w:pPr>
      <w:proofErr w:type="spellStart"/>
      <w:r w:rsidRPr="00C04C4B">
        <w:rPr>
          <w:rFonts w:ascii="Garamond" w:hAnsi="Garamond" w:cs="Arial"/>
        </w:rPr>
        <w:t>CT</w:t>
      </w:r>
      <w:proofErr w:type="spellEnd"/>
      <w:r w:rsidRPr="00C04C4B">
        <w:rPr>
          <w:rFonts w:ascii="Garamond" w:hAnsi="Garamond" w:cs="Arial"/>
        </w:rPr>
        <w:t xml:space="preserve"> ≥ </w:t>
      </w:r>
      <w:proofErr w:type="spellStart"/>
      <w:r w:rsidRPr="00C04C4B">
        <w:rPr>
          <w:rFonts w:ascii="Garamond" w:hAnsi="Garamond" w:cs="Arial"/>
        </w:rPr>
        <w:t>CTd</w:t>
      </w:r>
      <w:proofErr w:type="spellEnd"/>
    </w:p>
    <w:p w14:paraId="326A05FD" w14:textId="77777777" w:rsidR="00C04C4B" w:rsidRPr="00C04C4B" w:rsidRDefault="00C04C4B" w:rsidP="00C04C4B">
      <w:pPr>
        <w:pStyle w:val="NormalWeb"/>
        <w:rPr>
          <w:rFonts w:ascii="Garamond" w:eastAsia="Arial" w:hAnsi="Garamond" w:cs="Arial"/>
          <w:color w:val="008080"/>
          <w:sz w:val="22"/>
          <w:szCs w:val="22"/>
          <w:u w:val="single"/>
          <w:lang w:eastAsia="es-ES"/>
        </w:rPr>
      </w:pPr>
    </w:p>
    <w:p w14:paraId="28747A00" w14:textId="77777777" w:rsidR="00C04C4B" w:rsidRPr="00C04C4B" w:rsidRDefault="00C04C4B" w:rsidP="00C04C4B">
      <w:pPr>
        <w:pStyle w:val="NormalWeb"/>
        <w:shd w:val="clear" w:color="auto" w:fill="FFFFFF" w:themeFill="background1"/>
        <w:jc w:val="both"/>
        <w:rPr>
          <w:rFonts w:ascii="Garamond" w:hAnsi="Garamond"/>
          <w:b/>
          <w:i/>
          <w:sz w:val="22"/>
          <w:szCs w:val="22"/>
          <w:u w:val="single"/>
          <w:lang w:eastAsia="es-ES"/>
        </w:rPr>
      </w:pPr>
    </w:p>
    <w:p w14:paraId="17792998" w14:textId="77777777" w:rsidR="00C04C4B" w:rsidRPr="00C04C4B" w:rsidRDefault="00C04C4B" w:rsidP="00C04C4B">
      <w:pPr>
        <w:pStyle w:val="NormalWeb"/>
        <w:shd w:val="clear" w:color="auto" w:fill="FFFFFF" w:themeFill="background1"/>
        <w:jc w:val="both"/>
        <w:rPr>
          <w:rFonts w:ascii="Garamond" w:hAnsi="Garamond" w:cs="Arial"/>
          <w:sz w:val="22"/>
          <w:szCs w:val="22"/>
        </w:rPr>
      </w:pPr>
      <w:r w:rsidRPr="00C04C4B">
        <w:rPr>
          <w:rFonts w:ascii="Garamond" w:hAnsi="Garamond"/>
          <w:b/>
          <w:i/>
          <w:sz w:val="22"/>
          <w:szCs w:val="22"/>
          <w:u w:val="single"/>
          <w:lang w:eastAsia="es-ES"/>
        </w:rPr>
        <w:t>Capital de trabajo demandado (requerido):</w:t>
      </w:r>
    </w:p>
    <w:p w14:paraId="1E3D6CA9" w14:textId="77777777" w:rsidR="00C04C4B" w:rsidRPr="00C04C4B" w:rsidRDefault="00C04C4B" w:rsidP="00C04C4B">
      <w:pPr>
        <w:pStyle w:val="NormalWeb"/>
        <w:shd w:val="clear" w:color="auto" w:fill="FFFFFF" w:themeFill="background1"/>
        <w:jc w:val="both"/>
        <w:rPr>
          <w:rFonts w:ascii="Garamond" w:hAnsi="Garamond" w:cs="Arial"/>
          <w:sz w:val="22"/>
          <w:szCs w:val="22"/>
        </w:rPr>
      </w:pPr>
    </w:p>
    <w:p w14:paraId="6BC0506F" w14:textId="77777777" w:rsidR="00C04C4B" w:rsidRPr="00C04C4B" w:rsidRDefault="00C04C4B" w:rsidP="00C04C4B">
      <w:pPr>
        <w:rPr>
          <w:rFonts w:ascii="Garamond" w:eastAsia="Calibri" w:hAnsi="Garamond" w:cs="Arial"/>
          <w:highlight w:val="lightGray"/>
        </w:rPr>
      </w:pPr>
    </w:p>
    <w:p w14:paraId="4BDAA005" w14:textId="3D7FBE11" w:rsidR="00C04C4B" w:rsidRPr="006047AE" w:rsidRDefault="00C04C4B" w:rsidP="00C04C4B">
      <w:pPr>
        <w:jc w:val="both"/>
        <w:rPr>
          <w:rFonts w:ascii="Garamond" w:eastAsia="Calibri" w:hAnsi="Garamond" w:cs="Arial"/>
          <w:lang w:eastAsia="en-US"/>
        </w:rPr>
      </w:pPr>
      <w:r w:rsidRPr="006047AE">
        <w:rPr>
          <w:rFonts w:ascii="Garamond" w:eastAsia="Calibri" w:hAnsi="Garamond" w:cs="Arial"/>
          <w:lang w:eastAsia="en-US"/>
        </w:rPr>
        <w:t>Para procesos de selección cuyo plazo estimado de ejecución del contrato sea menor a doce (12) meses, el cálculo del capital de trabajo demandado, se hará de acuerdo con la siguiente fórmula:</w:t>
      </w:r>
    </w:p>
    <w:p w14:paraId="1D39B6A9" w14:textId="77777777" w:rsidR="00C04C4B" w:rsidRPr="00C04C4B" w:rsidRDefault="00C04C4B" w:rsidP="00C04C4B">
      <w:pPr>
        <w:rPr>
          <w:rFonts w:ascii="Garamond" w:eastAsia="Calibri" w:hAnsi="Garamond" w:cs="Arial"/>
        </w:rPr>
      </w:pPr>
    </w:p>
    <w:tbl>
      <w:tblPr>
        <w:tblStyle w:val="Tablaconcuadrcula"/>
        <w:tblW w:w="0" w:type="auto"/>
        <w:jc w:val="center"/>
        <w:tblLook w:val="04A0" w:firstRow="1" w:lastRow="0" w:firstColumn="1" w:lastColumn="0" w:noHBand="0" w:noVBand="1"/>
      </w:tblPr>
      <w:tblGrid>
        <w:gridCol w:w="6799"/>
      </w:tblGrid>
      <w:tr w:rsidR="00C04C4B" w:rsidRPr="00C04C4B" w14:paraId="778FCE27" w14:textId="77777777" w:rsidTr="00CE73D4">
        <w:trPr>
          <w:trHeight w:val="300"/>
          <w:tblHeader/>
          <w:jc w:val="center"/>
        </w:trPr>
        <w:tc>
          <w:tcPr>
            <w:tcW w:w="6799"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4A2138E0" w14:textId="77777777" w:rsidR="00C04C4B" w:rsidRPr="00C04C4B" w:rsidRDefault="00C04C4B" w:rsidP="00CE73D4">
            <w:pPr>
              <w:spacing w:line="276" w:lineRule="auto"/>
              <w:jc w:val="center"/>
              <w:rPr>
                <w:rFonts w:ascii="Garamond" w:eastAsia="Arial" w:hAnsi="Garamond" w:cs="Arial"/>
                <w:b/>
                <w:bCs/>
                <w:sz w:val="22"/>
                <w:szCs w:val="22"/>
              </w:rPr>
            </w:pPr>
            <w:r w:rsidRPr="00C04C4B">
              <w:rPr>
                <w:rFonts w:ascii="Garamond" w:hAnsi="Garamond" w:cs="Arial"/>
                <w:b/>
                <w:bCs/>
                <w:color w:val="FFFFFF" w:themeColor="background1"/>
                <w:sz w:val="22"/>
                <w:szCs w:val="22"/>
              </w:rPr>
              <w:lastRenderedPageBreak/>
              <w:t>Fórmula</w:t>
            </w:r>
          </w:p>
        </w:tc>
      </w:tr>
      <w:tr w:rsidR="00C04C4B" w:rsidRPr="00C04C4B" w14:paraId="7605D217" w14:textId="77777777" w:rsidTr="00CE73D4">
        <w:trPr>
          <w:trHeight w:val="300"/>
          <w:jc w:val="center"/>
        </w:trPr>
        <w:tc>
          <w:tcPr>
            <w:tcW w:w="6799" w:type="dxa"/>
            <w:tcBorders>
              <w:top w:val="single" w:sz="4" w:space="0" w:color="auto"/>
              <w:left w:val="single" w:sz="4" w:space="0" w:color="auto"/>
              <w:bottom w:val="single" w:sz="4" w:space="0" w:color="auto"/>
              <w:right w:val="double" w:sz="4" w:space="0" w:color="auto"/>
            </w:tcBorders>
            <w:vAlign w:val="center"/>
            <w:hideMark/>
          </w:tcPr>
          <w:p w14:paraId="62E493C5" w14:textId="77777777" w:rsidR="00C04C4B" w:rsidRPr="00C04C4B" w:rsidRDefault="00C04C4B" w:rsidP="00CE73D4">
            <w:pPr>
              <w:jc w:val="center"/>
              <w:rPr>
                <w:rFonts w:ascii="Garamond" w:hAnsi="Garamond" w:cs="Arial"/>
                <w:sz w:val="22"/>
                <w:szCs w:val="22"/>
              </w:rPr>
            </w:pPr>
            <w:proofErr w:type="spellStart"/>
            <w:r w:rsidRPr="00C04C4B">
              <w:rPr>
                <w:rFonts w:ascii="Garamond" w:hAnsi="Garamond" w:cs="Arial"/>
                <w:sz w:val="22"/>
                <w:szCs w:val="22"/>
              </w:rPr>
              <w:t>CTd</w:t>
            </w:r>
            <w:proofErr w:type="spellEnd"/>
            <w:r w:rsidRPr="00C04C4B">
              <w:rPr>
                <w:rFonts w:ascii="Garamond" w:hAnsi="Garamond" w:cs="Arial"/>
                <w:sz w:val="22"/>
                <w:szCs w:val="22"/>
              </w:rPr>
              <w:t xml:space="preserve"> = (POE - Anticipo o Pago anticipado) x 25%</w:t>
            </w:r>
          </w:p>
        </w:tc>
      </w:tr>
    </w:tbl>
    <w:p w14:paraId="5859C147" w14:textId="77777777" w:rsidR="00C04C4B" w:rsidRPr="00C04C4B" w:rsidRDefault="00C04C4B" w:rsidP="00C04C4B">
      <w:pPr>
        <w:rPr>
          <w:rFonts w:ascii="Garamond" w:eastAsia="Calibri" w:hAnsi="Garamond" w:cs="Arial"/>
        </w:rPr>
      </w:pPr>
    </w:p>
    <w:p w14:paraId="0658A3A1" w14:textId="77777777" w:rsidR="00C04C4B" w:rsidRPr="002D338F" w:rsidRDefault="00C04C4B" w:rsidP="00C04C4B">
      <w:pPr>
        <w:rPr>
          <w:rFonts w:ascii="Garamond" w:eastAsia="Calibri" w:hAnsi="Garamond" w:cs="Arial"/>
        </w:rPr>
      </w:pPr>
      <w:r w:rsidRPr="002D338F">
        <w:rPr>
          <w:rFonts w:ascii="Garamond" w:eastAsia="Calibri" w:hAnsi="Garamond" w:cs="Arial"/>
        </w:rPr>
        <w:t>Donde,</w:t>
      </w:r>
    </w:p>
    <w:p w14:paraId="1189FB02" w14:textId="77777777" w:rsidR="00C04C4B" w:rsidRPr="002D338F" w:rsidRDefault="00C04C4B" w:rsidP="00C04C4B">
      <w:pPr>
        <w:rPr>
          <w:rFonts w:ascii="Garamond" w:eastAsia="Calibri" w:hAnsi="Garamond" w:cs="Arial"/>
        </w:rPr>
      </w:pPr>
      <w:proofErr w:type="spellStart"/>
      <w:r w:rsidRPr="002D338F">
        <w:rPr>
          <w:rFonts w:ascii="Garamond" w:eastAsia="Calibri" w:hAnsi="Garamond" w:cs="Arial"/>
        </w:rPr>
        <w:t>CTd</w:t>
      </w:r>
      <w:proofErr w:type="spellEnd"/>
      <w:r w:rsidRPr="002D338F">
        <w:rPr>
          <w:rFonts w:ascii="Garamond" w:eastAsia="Calibri" w:hAnsi="Garamond" w:cs="Arial"/>
        </w:rPr>
        <w:t xml:space="preserve"> = Capital de Trabajo demandado para el proceso que presenta propuesta</w:t>
      </w:r>
    </w:p>
    <w:p w14:paraId="756F32F2" w14:textId="77777777" w:rsidR="00C04C4B" w:rsidRPr="00C04C4B" w:rsidRDefault="00C04C4B" w:rsidP="00C04C4B">
      <w:pPr>
        <w:rPr>
          <w:rFonts w:ascii="Garamond" w:eastAsia="Calibri" w:hAnsi="Garamond" w:cs="Arial"/>
        </w:rPr>
      </w:pPr>
      <w:r w:rsidRPr="002D338F">
        <w:rPr>
          <w:rFonts w:ascii="Garamond" w:eastAsia="Calibri" w:hAnsi="Garamond" w:cs="Arial"/>
        </w:rPr>
        <w:t>POE = Presupuesto oficial estimado</w:t>
      </w:r>
      <w:r w:rsidRPr="002D338F">
        <w:rPr>
          <w:rFonts w:ascii="Garamond" w:eastAsia="Calibri" w:hAnsi="Garamond" w:cs="Arial"/>
          <w:lang w:eastAsia="en-US"/>
        </w:rPr>
        <w:t>]</w:t>
      </w:r>
    </w:p>
    <w:p w14:paraId="46026919" w14:textId="77777777" w:rsidR="00C04C4B" w:rsidRPr="00C04C4B" w:rsidDel="000F1234" w:rsidRDefault="00C04C4B" w:rsidP="00C04C4B">
      <w:pPr>
        <w:jc w:val="both"/>
        <w:rPr>
          <w:rFonts w:ascii="Garamond" w:eastAsia="Calibri" w:hAnsi="Garamond" w:cs="Arial"/>
          <w:lang w:eastAsia="en-US"/>
        </w:rPr>
      </w:pPr>
    </w:p>
    <w:p w14:paraId="6586AF3C" w14:textId="77777777" w:rsidR="00C04C4B" w:rsidRPr="00C04C4B" w:rsidRDefault="00C04C4B" w:rsidP="00C04C4B">
      <w:pPr>
        <w:jc w:val="both"/>
        <w:rPr>
          <w:rFonts w:ascii="Garamond" w:eastAsia="Calibri" w:hAnsi="Garamond" w:cs="Arial"/>
          <w:lang w:eastAsia="en-US"/>
        </w:rPr>
      </w:pPr>
    </w:p>
    <w:p w14:paraId="7AFD71C0" w14:textId="55F633F7" w:rsidR="00C04C4B" w:rsidRPr="00C04C4B" w:rsidRDefault="00C04C4B" w:rsidP="00C04C4B">
      <w:pPr>
        <w:pStyle w:val="NormalWeb"/>
        <w:shd w:val="clear" w:color="auto" w:fill="FFFFFF"/>
        <w:jc w:val="both"/>
        <w:rPr>
          <w:rFonts w:ascii="Garamond" w:hAnsi="Garamond"/>
          <w:sz w:val="22"/>
          <w:szCs w:val="22"/>
        </w:rPr>
      </w:pPr>
      <w:r w:rsidRPr="00C04C4B">
        <w:rPr>
          <w:rFonts w:ascii="Garamond" w:hAnsi="Garamond"/>
          <w:sz w:val="22"/>
          <w:szCs w:val="22"/>
          <w:lang w:eastAsia="es-ES"/>
        </w:rPr>
        <w:t>En ningún caso el capital de trabajo requerido excederá el valor del Presupuesto Oficial.</w:t>
      </w:r>
      <w:r w:rsidRPr="00C04C4B">
        <w:rPr>
          <w:rFonts w:ascii="Garamond" w:hAnsi="Garamond"/>
          <w:sz w:val="22"/>
          <w:szCs w:val="22"/>
        </w:rPr>
        <w:t xml:space="preserve"> </w:t>
      </w:r>
      <w:r w:rsidR="006047AE">
        <w:rPr>
          <w:rFonts w:ascii="Garamond" w:hAnsi="Garamond"/>
          <w:sz w:val="22"/>
          <w:szCs w:val="22"/>
        </w:rPr>
        <w:t xml:space="preserve">El capital de trabajo será: </w:t>
      </w:r>
      <w:r w:rsidR="0055252E">
        <w:rPr>
          <w:rFonts w:ascii="Garamond" w:hAnsi="Garamond"/>
          <w:sz w:val="22"/>
          <w:szCs w:val="22"/>
        </w:rPr>
        <w:t>$22.379.133</w:t>
      </w:r>
    </w:p>
    <w:p w14:paraId="6801D499" w14:textId="77777777" w:rsidR="00C04C4B" w:rsidRPr="00C04C4B" w:rsidRDefault="00C04C4B" w:rsidP="00C04C4B">
      <w:pPr>
        <w:jc w:val="both"/>
        <w:rPr>
          <w:rFonts w:ascii="Garamond" w:hAnsi="Garamond"/>
        </w:rPr>
      </w:pPr>
    </w:p>
    <w:p w14:paraId="2945E98B" w14:textId="77777777" w:rsidR="00C04C4B" w:rsidRPr="00C04C4B" w:rsidDel="00E339BA" w:rsidRDefault="00C04C4B" w:rsidP="00C04C4B">
      <w:pPr>
        <w:rPr>
          <w:rFonts w:ascii="Garamond" w:hAnsi="Garamond"/>
          <w:lang w:eastAsia="es-ES"/>
        </w:rPr>
      </w:pPr>
      <w:r w:rsidRPr="00C04C4B" w:rsidDel="00E339BA">
        <w:rPr>
          <w:rFonts w:ascii="Garamond" w:hAnsi="Garamond"/>
          <w:lang w:eastAsia="es-ES"/>
        </w:rPr>
        <w:t>Si</w:t>
      </w:r>
      <w:r w:rsidRPr="00C04C4B">
        <w:rPr>
          <w:rFonts w:ascii="Garamond" w:hAnsi="Garamond"/>
          <w:lang w:eastAsia="es-ES"/>
        </w:rPr>
        <w:t>endo</w:t>
      </w:r>
      <w:r w:rsidRPr="00C04C4B" w:rsidDel="00E339BA">
        <w:rPr>
          <w:rFonts w:ascii="Garamond" w:hAnsi="Garamond"/>
          <w:lang w:eastAsia="es-ES"/>
        </w:rPr>
        <w:t xml:space="preserve"> </w:t>
      </w:r>
      <w:r w:rsidRPr="00C04C4B">
        <w:rPr>
          <w:rFonts w:ascii="Garamond" w:hAnsi="Garamond"/>
          <w:lang w:eastAsia="es-ES"/>
        </w:rPr>
        <w:t>Proponente</w:t>
      </w:r>
      <w:r w:rsidRPr="00C04C4B" w:rsidDel="00E339BA">
        <w:rPr>
          <w:rFonts w:ascii="Garamond" w:hAnsi="Garamond"/>
          <w:lang w:eastAsia="es-ES"/>
        </w:rPr>
        <w:t xml:space="preserve"> </w:t>
      </w:r>
      <w:r w:rsidRPr="00C04C4B">
        <w:rPr>
          <w:rFonts w:ascii="Garamond" w:hAnsi="Garamond"/>
          <w:lang w:eastAsia="es-ES"/>
        </w:rPr>
        <w:t>Plural</w:t>
      </w:r>
      <w:r w:rsidRPr="00C04C4B" w:rsidDel="00E339BA">
        <w:rPr>
          <w:rFonts w:ascii="Garamond" w:hAnsi="Garamond"/>
          <w:lang w:eastAsia="es-ES"/>
        </w:rPr>
        <w:t xml:space="preserve"> el indicador debe calcularse así:</w:t>
      </w:r>
    </w:p>
    <w:p w14:paraId="7A1D4BEA" w14:textId="77777777" w:rsidR="00C04C4B" w:rsidRPr="00C04C4B" w:rsidDel="00E339BA" w:rsidRDefault="00C04C4B" w:rsidP="00C04C4B">
      <w:pPr>
        <w:rPr>
          <w:rFonts w:ascii="Garamond" w:hAnsi="Garamond"/>
        </w:rPr>
      </w:pPr>
    </w:p>
    <w:p w14:paraId="50F648B7" w14:textId="77777777" w:rsidR="00C04C4B" w:rsidRPr="00C04C4B" w:rsidDel="00E339BA" w:rsidRDefault="00C04C4B" w:rsidP="00C04C4B">
      <w:pPr>
        <w:rPr>
          <w:rFonts w:ascii="Garamond" w:hAnsi="Garamond"/>
        </w:rPr>
      </w:pPr>
      <m:oMathPara>
        <m:oMath>
          <m:r>
            <m:rPr>
              <m:sty m:val="p"/>
            </m:rPr>
            <w:rPr>
              <w:rFonts w:ascii="Cambria Math" w:hAnsi="Cambria Math"/>
            </w:rPr>
            <m:t>CTproponente plural=</m:t>
          </m:r>
          <m:nary>
            <m:naryPr>
              <m:chr m:val="∑"/>
              <m:limLoc m:val="undOvr"/>
              <m:ctrlPr>
                <w:rPr>
                  <w:rFonts w:ascii="Cambria Math" w:hAnsi="Cambria Math"/>
                </w:rPr>
              </m:ctrlPr>
            </m:naryPr>
            <m:sub>
              <m:r>
                <m:rPr>
                  <m:sty m:val="p"/>
                </m:rPr>
                <w:rPr>
                  <w:rFonts w:ascii="Cambria Math" w:hAnsi="Cambria Math"/>
                </w:rPr>
                <m:t>i=1</m:t>
              </m:r>
            </m:sub>
            <m:sup>
              <m:r>
                <m:rPr>
                  <m:sty m:val="p"/>
                </m:rPr>
                <w:rPr>
                  <w:rFonts w:ascii="Cambria Math" w:hAnsi="Cambria Math"/>
                </w:rPr>
                <m:t>n</m:t>
              </m:r>
            </m:sup>
            <m:e>
              <m:sSub>
                <m:sSubPr>
                  <m:ctrlPr>
                    <w:rPr>
                      <w:rFonts w:ascii="Cambria Math" w:hAnsi="Cambria Math"/>
                    </w:rPr>
                  </m:ctrlPr>
                </m:sSubPr>
                <m:e>
                  <m:r>
                    <m:rPr>
                      <m:sty m:val="p"/>
                    </m:rPr>
                    <w:rPr>
                      <w:rFonts w:ascii="Cambria Math" w:hAnsi="Cambria Math"/>
                    </w:rPr>
                    <m:t>CT</m:t>
                  </m:r>
                </m:e>
                <m:sub>
                  <m:r>
                    <m:rPr>
                      <m:sty m:val="p"/>
                    </m:rPr>
                    <w:rPr>
                      <w:rFonts w:ascii="Cambria Math" w:hAnsi="Cambria Math"/>
                    </w:rPr>
                    <m:t>i</m:t>
                  </m:r>
                </m:sub>
              </m:sSub>
            </m:e>
          </m:nary>
        </m:oMath>
      </m:oMathPara>
    </w:p>
    <w:p w14:paraId="1350864D" w14:textId="77777777" w:rsidR="00C04C4B" w:rsidRPr="00C04C4B" w:rsidDel="00E339BA" w:rsidRDefault="00C04C4B" w:rsidP="00C04C4B">
      <w:pPr>
        <w:rPr>
          <w:rFonts w:ascii="Garamond" w:hAnsi="Garamond"/>
          <w:lang w:eastAsia="es-ES"/>
        </w:rPr>
      </w:pPr>
    </w:p>
    <w:p w14:paraId="133CE814" w14:textId="77777777" w:rsidR="00C04C4B" w:rsidRPr="00C04C4B" w:rsidDel="00E339BA" w:rsidRDefault="00C04C4B" w:rsidP="00C04C4B">
      <w:pPr>
        <w:rPr>
          <w:rFonts w:ascii="Garamond" w:hAnsi="Garamond"/>
          <w:lang w:eastAsia="es-ES"/>
        </w:rPr>
      </w:pPr>
      <w:r w:rsidRPr="00C04C4B" w:rsidDel="00E339BA">
        <w:rPr>
          <w:rFonts w:ascii="Garamond" w:hAnsi="Garamond"/>
          <w:lang w:eastAsia="es-ES"/>
        </w:rPr>
        <w:t xml:space="preserve">Donde </w:t>
      </w:r>
      <m:oMath>
        <m:r>
          <w:rPr>
            <w:rFonts w:ascii="Cambria Math" w:hAnsi="Cambria Math"/>
            <w:lang w:eastAsia="es-ES"/>
          </w:rPr>
          <m:t>n</m:t>
        </m:r>
      </m:oMath>
      <w:r w:rsidRPr="00C04C4B" w:rsidDel="00E339BA">
        <w:rPr>
          <w:rFonts w:ascii="Garamond" w:hAnsi="Garamond"/>
          <w:lang w:eastAsia="es-ES"/>
        </w:rPr>
        <w:t xml:space="preserve"> es el número de integrantes del </w:t>
      </w:r>
      <w:r w:rsidRPr="00C04C4B">
        <w:rPr>
          <w:rFonts w:ascii="Garamond" w:hAnsi="Garamond"/>
          <w:lang w:eastAsia="es-ES"/>
        </w:rPr>
        <w:t>Proponente</w:t>
      </w:r>
      <w:r w:rsidRPr="00C04C4B" w:rsidDel="00E339BA">
        <w:rPr>
          <w:rFonts w:ascii="Garamond" w:hAnsi="Garamond"/>
          <w:lang w:eastAsia="es-ES"/>
        </w:rPr>
        <w:t xml:space="preserve"> Plural (Unión Temporal o Consorcio).</w:t>
      </w:r>
    </w:p>
    <w:p w14:paraId="6ADD7F8C" w14:textId="77777777" w:rsidR="00C04C4B" w:rsidRPr="00C04C4B" w:rsidRDefault="00C04C4B" w:rsidP="00C04C4B">
      <w:pPr>
        <w:jc w:val="both"/>
        <w:rPr>
          <w:rFonts w:ascii="Garamond" w:hAnsi="Garamond" w:cs="Arial"/>
        </w:rPr>
      </w:pPr>
    </w:p>
    <w:p w14:paraId="4E73196A" w14:textId="4316C46D" w:rsidR="00C04C4B" w:rsidRPr="00C04C4B" w:rsidRDefault="00C04C4B" w:rsidP="00A23238">
      <w:pPr>
        <w:pStyle w:val="Capitulo1"/>
        <w:numPr>
          <w:ilvl w:val="1"/>
          <w:numId w:val="54"/>
        </w:numPr>
        <w:tabs>
          <w:tab w:val="left" w:pos="851"/>
        </w:tabs>
        <w:spacing w:line="240" w:lineRule="auto"/>
        <w:jc w:val="both"/>
        <w:rPr>
          <w:rFonts w:ascii="Garamond" w:eastAsia="Arial" w:hAnsi="Garamond"/>
          <w:color w:val="auto"/>
          <w:sz w:val="22"/>
          <w:szCs w:val="22"/>
        </w:rPr>
      </w:pPr>
      <w:bookmarkStart w:id="320" w:name="_Toc511029826"/>
      <w:bookmarkStart w:id="321" w:name="_Toc511375666"/>
      <w:bookmarkStart w:id="322" w:name="_Toc511375844"/>
      <w:bookmarkStart w:id="323" w:name="_Toc511029832"/>
      <w:bookmarkStart w:id="324" w:name="_Toc511375672"/>
      <w:bookmarkStart w:id="325" w:name="_Toc511375850"/>
      <w:bookmarkStart w:id="326" w:name="_Toc511029833"/>
      <w:bookmarkStart w:id="327" w:name="_Toc511375673"/>
      <w:bookmarkStart w:id="328" w:name="_Toc511375851"/>
      <w:bookmarkStart w:id="329" w:name="_Toc511029835"/>
      <w:bookmarkStart w:id="330" w:name="_Toc511375675"/>
      <w:bookmarkStart w:id="331" w:name="_Toc511375853"/>
      <w:bookmarkStart w:id="332" w:name="_Toc511029837"/>
      <w:bookmarkStart w:id="333" w:name="_Toc511375677"/>
      <w:bookmarkStart w:id="334" w:name="_Toc511375855"/>
      <w:bookmarkStart w:id="335" w:name="_Toc511924796"/>
      <w:bookmarkStart w:id="336" w:name="_Toc520226885"/>
      <w:bookmarkStart w:id="337" w:name="_Toc520297855"/>
      <w:bookmarkStart w:id="338" w:name="_Toc520317120"/>
      <w:bookmarkStart w:id="339" w:name="_Toc533083723"/>
      <w:bookmarkStart w:id="340" w:name="_Toc35616391"/>
      <w:bookmarkStart w:id="341" w:name="_Toc40113353"/>
      <w:bookmarkStart w:id="342" w:name="_Toc108082916"/>
      <w:bookmarkStart w:id="343" w:name="_Toc215132444"/>
      <w:bookmarkStart w:id="344" w:name="_Toc508648273"/>
      <w:bookmarkStart w:id="345" w:name="_Toc508984057"/>
      <w:bookmarkStart w:id="346" w:name="_Toc509843888"/>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r w:rsidRPr="00C04C4B">
        <w:rPr>
          <w:rFonts w:ascii="Garamond" w:eastAsia="Arial" w:hAnsi="Garamond"/>
          <w:color w:val="auto"/>
          <w:sz w:val="22"/>
          <w:szCs w:val="22"/>
        </w:rPr>
        <w:t>CAPACIDAD ORGANIZACIONAL</w:t>
      </w:r>
      <w:bookmarkEnd w:id="335"/>
      <w:bookmarkEnd w:id="336"/>
      <w:bookmarkEnd w:id="337"/>
      <w:bookmarkEnd w:id="338"/>
      <w:bookmarkEnd w:id="339"/>
      <w:bookmarkEnd w:id="340"/>
      <w:bookmarkEnd w:id="341"/>
      <w:bookmarkEnd w:id="342"/>
      <w:bookmarkEnd w:id="343"/>
      <w:r w:rsidRPr="00C04C4B">
        <w:rPr>
          <w:rFonts w:ascii="Garamond" w:eastAsia="Arial" w:hAnsi="Garamond"/>
          <w:color w:val="auto"/>
          <w:sz w:val="22"/>
          <w:szCs w:val="22"/>
        </w:rPr>
        <w:t xml:space="preserve"> </w:t>
      </w:r>
      <w:bookmarkEnd w:id="344"/>
      <w:bookmarkEnd w:id="345"/>
      <w:bookmarkEnd w:id="346"/>
    </w:p>
    <w:p w14:paraId="30A2E594" w14:textId="77777777" w:rsidR="00C04C4B" w:rsidRPr="00C04C4B" w:rsidRDefault="00C04C4B" w:rsidP="00C04C4B">
      <w:pPr>
        <w:jc w:val="both"/>
        <w:rPr>
          <w:rFonts w:ascii="Garamond" w:hAnsi="Garamond" w:cs="Arial"/>
        </w:rPr>
      </w:pPr>
      <w:bookmarkStart w:id="347" w:name="_Hlk516153838"/>
      <w:bookmarkStart w:id="348" w:name="_Hlk516153822"/>
      <w:r w:rsidRPr="00C04C4B">
        <w:rPr>
          <w:rFonts w:ascii="Garamond" w:hAnsi="Garamond" w:cs="Arial"/>
        </w:rPr>
        <w:t xml:space="preserve">Los Proponentes deberán acreditar los siguientes indicadores en los términos señalados en la “Matriz 2 – Indicadores financieros y organizacionales”: </w:t>
      </w:r>
    </w:p>
    <w:p w14:paraId="744E3215" w14:textId="77777777" w:rsidR="00C04C4B" w:rsidRPr="00C04C4B" w:rsidRDefault="00C04C4B" w:rsidP="00C04C4B">
      <w:pPr>
        <w:rPr>
          <w:rFonts w:ascii="Garamond" w:hAnsi="Garamond" w:cs="Arial"/>
        </w:rPr>
      </w:pPr>
    </w:p>
    <w:tbl>
      <w:tblPr>
        <w:tblStyle w:val="Tablaconcuadrcula"/>
        <w:tblW w:w="7420" w:type="dxa"/>
        <w:jc w:val="center"/>
        <w:tblLook w:val="04A0" w:firstRow="1" w:lastRow="0" w:firstColumn="1" w:lastColumn="0" w:noHBand="0" w:noVBand="1"/>
      </w:tblPr>
      <w:tblGrid>
        <w:gridCol w:w="2650"/>
        <w:gridCol w:w="4770"/>
      </w:tblGrid>
      <w:tr w:rsidR="00C04C4B" w:rsidRPr="00C04C4B" w14:paraId="04C20CF0" w14:textId="77777777" w:rsidTr="00CE73D4">
        <w:trPr>
          <w:trHeight w:val="283"/>
          <w:tblHeader/>
          <w:jc w:val="center"/>
        </w:trPr>
        <w:tc>
          <w:tcPr>
            <w:tcW w:w="265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76E44F3B" w14:textId="77777777" w:rsidR="00C04C4B" w:rsidRPr="00C04C4B" w:rsidRDefault="00C04C4B" w:rsidP="00CE73D4">
            <w:pPr>
              <w:jc w:val="center"/>
              <w:rPr>
                <w:rFonts w:ascii="Garamond" w:eastAsia="Arial" w:hAnsi="Garamond" w:cs="Arial"/>
                <w:b/>
                <w:color w:val="FFFFFF" w:themeColor="background1"/>
                <w:sz w:val="22"/>
                <w:szCs w:val="22"/>
              </w:rPr>
            </w:pPr>
            <w:r w:rsidRPr="00C04C4B">
              <w:rPr>
                <w:rFonts w:ascii="Garamond" w:hAnsi="Garamond" w:cs="Arial"/>
                <w:b/>
                <w:color w:val="FFFFFF" w:themeColor="background1"/>
                <w:sz w:val="22"/>
                <w:szCs w:val="22"/>
              </w:rPr>
              <w:t>Indicador</w:t>
            </w:r>
          </w:p>
        </w:tc>
        <w:tc>
          <w:tcPr>
            <w:tcW w:w="4770"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2FC07129" w14:textId="77777777" w:rsidR="00C04C4B" w:rsidRPr="00C04C4B" w:rsidRDefault="00C04C4B" w:rsidP="00CE73D4">
            <w:pPr>
              <w:jc w:val="center"/>
              <w:rPr>
                <w:rFonts w:ascii="Garamond" w:eastAsia="Arial" w:hAnsi="Garamond" w:cs="Arial"/>
                <w:b/>
                <w:color w:val="FFFFFF" w:themeColor="background1"/>
                <w:sz w:val="22"/>
                <w:szCs w:val="22"/>
              </w:rPr>
            </w:pPr>
            <w:r w:rsidRPr="00C04C4B">
              <w:rPr>
                <w:rFonts w:ascii="Garamond" w:hAnsi="Garamond" w:cs="Arial"/>
                <w:b/>
                <w:color w:val="FFFFFF" w:themeColor="background1"/>
                <w:sz w:val="22"/>
                <w:szCs w:val="22"/>
              </w:rPr>
              <w:t>Fórmula</w:t>
            </w:r>
          </w:p>
        </w:tc>
      </w:tr>
      <w:tr w:rsidR="00C04C4B" w:rsidRPr="00C04C4B" w14:paraId="37DB5984" w14:textId="77777777" w:rsidTr="00CE73D4">
        <w:trPr>
          <w:trHeight w:val="644"/>
          <w:jc w:val="center"/>
        </w:trPr>
        <w:tc>
          <w:tcPr>
            <w:tcW w:w="2650" w:type="dxa"/>
            <w:tcBorders>
              <w:top w:val="single" w:sz="4" w:space="0" w:color="auto"/>
              <w:left w:val="double" w:sz="4" w:space="0" w:color="auto"/>
              <w:bottom w:val="single" w:sz="4" w:space="0" w:color="auto"/>
              <w:right w:val="single" w:sz="4" w:space="0" w:color="auto"/>
            </w:tcBorders>
            <w:vAlign w:val="center"/>
            <w:hideMark/>
          </w:tcPr>
          <w:p w14:paraId="2376FAE7" w14:textId="77777777" w:rsidR="00C04C4B" w:rsidRPr="00C04C4B" w:rsidRDefault="00C04C4B" w:rsidP="00CE73D4">
            <w:pPr>
              <w:tabs>
                <w:tab w:val="left" w:pos="1039"/>
              </w:tabs>
              <w:jc w:val="center"/>
              <w:rPr>
                <w:rFonts w:ascii="Garamond" w:eastAsia="Arial" w:hAnsi="Garamond" w:cs="Arial"/>
                <w:sz w:val="22"/>
                <w:szCs w:val="22"/>
              </w:rPr>
            </w:pPr>
            <w:r w:rsidRPr="00C04C4B">
              <w:rPr>
                <w:rFonts w:ascii="Garamond" w:hAnsi="Garamond" w:cs="Arial"/>
                <w:sz w:val="22"/>
                <w:szCs w:val="22"/>
              </w:rPr>
              <w:t>Rentabilidad sobre Patrimonio (ROE)</w:t>
            </w:r>
          </w:p>
        </w:tc>
        <w:tc>
          <w:tcPr>
            <w:tcW w:w="4770" w:type="dxa"/>
            <w:tcBorders>
              <w:top w:val="single" w:sz="4" w:space="0" w:color="auto"/>
              <w:left w:val="single" w:sz="4" w:space="0" w:color="auto"/>
              <w:bottom w:val="single" w:sz="4" w:space="0" w:color="auto"/>
              <w:right w:val="double" w:sz="4" w:space="0" w:color="auto"/>
            </w:tcBorders>
            <w:vAlign w:val="center"/>
            <w:hideMark/>
          </w:tcPr>
          <w:p w14:paraId="26842DBC" w14:textId="77777777" w:rsidR="00C04C4B" w:rsidRPr="00C04C4B" w:rsidRDefault="00C04C4B" w:rsidP="00CE73D4">
            <w:pPr>
              <w:jc w:val="center"/>
              <w:rPr>
                <w:rFonts w:ascii="Garamond" w:hAnsi="Garamond" w:cs="Arial"/>
                <w:sz w:val="22"/>
                <w:szCs w:val="22"/>
              </w:rPr>
            </w:pPr>
            <m:oMathPara>
              <m:oMath>
                <m:f>
                  <m:fPr>
                    <m:ctrlPr>
                      <w:rPr>
                        <w:rFonts w:ascii="Cambria Math" w:hAnsi="Cambria Math" w:cs="Arial"/>
                        <w:bCs/>
                        <w:sz w:val="22"/>
                        <w:szCs w:val="22"/>
                      </w:rPr>
                    </m:ctrlPr>
                  </m:fPr>
                  <m:num>
                    <m:r>
                      <m:rPr>
                        <m:sty m:val="p"/>
                      </m:rPr>
                      <w:rPr>
                        <w:rFonts w:ascii="Cambria Math" w:hAnsi="Cambria Math" w:cs="Arial"/>
                        <w:sz w:val="22"/>
                        <w:szCs w:val="22"/>
                      </w:rPr>
                      <m:t>Utilidad Operacional</m:t>
                    </m:r>
                  </m:num>
                  <m:den>
                    <m:r>
                      <m:rPr>
                        <m:sty m:val="p"/>
                      </m:rPr>
                      <w:rPr>
                        <w:rFonts w:ascii="Cambria Math" w:hAnsi="Cambria Math" w:cs="Arial"/>
                        <w:sz w:val="22"/>
                        <w:szCs w:val="22"/>
                      </w:rPr>
                      <m:t>Patrimonio</m:t>
                    </m:r>
                  </m:den>
                </m:f>
              </m:oMath>
            </m:oMathPara>
          </w:p>
        </w:tc>
      </w:tr>
      <w:tr w:rsidR="00C04C4B" w:rsidRPr="00C04C4B" w14:paraId="6646F039" w14:textId="77777777" w:rsidTr="00CE73D4">
        <w:trPr>
          <w:trHeight w:val="623"/>
          <w:jc w:val="center"/>
        </w:trPr>
        <w:tc>
          <w:tcPr>
            <w:tcW w:w="2650" w:type="dxa"/>
            <w:tcBorders>
              <w:top w:val="single" w:sz="4" w:space="0" w:color="auto"/>
              <w:left w:val="double" w:sz="4" w:space="0" w:color="auto"/>
              <w:bottom w:val="double" w:sz="4" w:space="0" w:color="auto"/>
              <w:right w:val="single" w:sz="4" w:space="0" w:color="auto"/>
            </w:tcBorders>
            <w:vAlign w:val="center"/>
            <w:hideMark/>
          </w:tcPr>
          <w:p w14:paraId="7505FD15" w14:textId="77777777" w:rsidR="00C04C4B" w:rsidRPr="00C04C4B" w:rsidRDefault="00C04C4B" w:rsidP="00CE73D4">
            <w:pPr>
              <w:jc w:val="center"/>
              <w:rPr>
                <w:rFonts w:ascii="Garamond" w:eastAsia="Arial" w:hAnsi="Garamond" w:cs="Arial"/>
                <w:sz w:val="22"/>
                <w:szCs w:val="22"/>
              </w:rPr>
            </w:pPr>
            <w:r w:rsidRPr="00C04C4B">
              <w:rPr>
                <w:rFonts w:ascii="Garamond" w:hAnsi="Garamond" w:cs="Arial"/>
                <w:sz w:val="22"/>
                <w:szCs w:val="22"/>
              </w:rPr>
              <w:t>Rentabilidad del Activo (ROA)</w:t>
            </w:r>
          </w:p>
        </w:tc>
        <w:tc>
          <w:tcPr>
            <w:tcW w:w="4770" w:type="dxa"/>
            <w:tcBorders>
              <w:top w:val="single" w:sz="4" w:space="0" w:color="auto"/>
              <w:left w:val="single" w:sz="4" w:space="0" w:color="auto"/>
              <w:bottom w:val="double" w:sz="4" w:space="0" w:color="auto"/>
              <w:right w:val="double" w:sz="4" w:space="0" w:color="auto"/>
            </w:tcBorders>
            <w:vAlign w:val="center"/>
            <w:hideMark/>
          </w:tcPr>
          <w:p w14:paraId="01CB108F" w14:textId="77777777" w:rsidR="00C04C4B" w:rsidRPr="00C04C4B" w:rsidRDefault="00C04C4B" w:rsidP="00CE73D4">
            <w:pPr>
              <w:jc w:val="center"/>
              <w:rPr>
                <w:rFonts w:ascii="Garamond" w:hAnsi="Garamond" w:cs="Arial"/>
                <w:sz w:val="22"/>
                <w:szCs w:val="22"/>
              </w:rPr>
            </w:pPr>
            <m:oMathPara>
              <m:oMath>
                <m:f>
                  <m:fPr>
                    <m:ctrlPr>
                      <w:rPr>
                        <w:rFonts w:ascii="Cambria Math" w:hAnsi="Cambria Math" w:cs="Arial"/>
                        <w:bCs/>
                        <w:sz w:val="22"/>
                        <w:szCs w:val="22"/>
                      </w:rPr>
                    </m:ctrlPr>
                  </m:fPr>
                  <m:num>
                    <m:r>
                      <m:rPr>
                        <m:sty m:val="p"/>
                      </m:rPr>
                      <w:rPr>
                        <w:rFonts w:ascii="Cambria Math" w:hAnsi="Cambria Math" w:cs="Arial"/>
                        <w:sz w:val="22"/>
                        <w:szCs w:val="22"/>
                      </w:rPr>
                      <m:t>Utilidad Operacional</m:t>
                    </m:r>
                  </m:num>
                  <m:den>
                    <m:r>
                      <m:rPr>
                        <m:sty m:val="p"/>
                      </m:rPr>
                      <w:rPr>
                        <w:rFonts w:ascii="Cambria Math" w:hAnsi="Cambria Math" w:cs="Arial"/>
                        <w:sz w:val="22"/>
                        <w:szCs w:val="22"/>
                      </w:rPr>
                      <m:t>Activo Total</m:t>
                    </m:r>
                  </m:den>
                </m:f>
              </m:oMath>
            </m:oMathPara>
          </w:p>
        </w:tc>
      </w:tr>
      <w:bookmarkEnd w:id="347"/>
    </w:tbl>
    <w:p w14:paraId="4A7AB657" w14:textId="77777777" w:rsidR="00C04C4B" w:rsidRPr="00C04C4B" w:rsidRDefault="00C04C4B" w:rsidP="00C04C4B">
      <w:pPr>
        <w:rPr>
          <w:rFonts w:ascii="Garamond" w:hAnsi="Garamond" w:cs="Arial"/>
        </w:rPr>
      </w:pPr>
    </w:p>
    <w:p w14:paraId="60B20D35" w14:textId="77777777" w:rsidR="00C04C4B" w:rsidRPr="00C04C4B" w:rsidRDefault="00C04C4B" w:rsidP="00C04C4B">
      <w:pPr>
        <w:rPr>
          <w:rFonts w:ascii="Garamond" w:eastAsia="Arial" w:hAnsi="Garamond" w:cs="Arial"/>
        </w:rPr>
      </w:pPr>
      <w:r w:rsidRPr="00C04C4B">
        <w:rPr>
          <w:rFonts w:ascii="Garamond" w:hAnsi="Garamond" w:cs="Arial"/>
        </w:rPr>
        <w:t>Si el</w:t>
      </w:r>
      <w:r w:rsidRPr="00C04C4B">
        <w:rPr>
          <w:rFonts w:ascii="Garamond" w:eastAsia="Arial" w:hAnsi="Garamond" w:cs="Arial"/>
        </w:rPr>
        <w:t xml:space="preserve"> </w:t>
      </w:r>
      <w:r w:rsidRPr="00C04C4B">
        <w:rPr>
          <w:rFonts w:ascii="Garamond" w:hAnsi="Garamond" w:cs="Arial"/>
        </w:rPr>
        <w:t>Proponente</w:t>
      </w:r>
      <w:r w:rsidRPr="00C04C4B">
        <w:rPr>
          <w:rFonts w:ascii="Garamond" w:eastAsia="Arial" w:hAnsi="Garamond" w:cs="Arial"/>
        </w:rPr>
        <w:t xml:space="preserve"> es </w:t>
      </w:r>
      <w:r w:rsidRPr="00C04C4B">
        <w:rPr>
          <w:rFonts w:ascii="Garamond" w:hAnsi="Garamond" w:cs="Arial"/>
        </w:rPr>
        <w:t>Plural</w:t>
      </w:r>
      <w:r w:rsidRPr="00C04C4B">
        <w:rPr>
          <w:rFonts w:ascii="Garamond" w:eastAsia="Arial" w:hAnsi="Garamond" w:cs="Arial"/>
        </w:rPr>
        <w:t xml:space="preserve"> </w:t>
      </w:r>
      <w:r w:rsidRPr="00C04C4B">
        <w:rPr>
          <w:rFonts w:ascii="Garamond" w:hAnsi="Garamond" w:cs="Arial"/>
        </w:rPr>
        <w:t>cada</w:t>
      </w:r>
      <w:r w:rsidRPr="00C04C4B">
        <w:rPr>
          <w:rFonts w:ascii="Garamond" w:eastAsia="Arial" w:hAnsi="Garamond" w:cs="Arial"/>
        </w:rPr>
        <w:t xml:space="preserve"> </w:t>
      </w:r>
      <w:r w:rsidRPr="00C04C4B">
        <w:rPr>
          <w:rFonts w:ascii="Garamond" w:hAnsi="Garamond" w:cs="Arial"/>
        </w:rPr>
        <w:t>indicador</w:t>
      </w:r>
      <w:r w:rsidRPr="00C04C4B">
        <w:rPr>
          <w:rFonts w:ascii="Garamond" w:eastAsia="Arial" w:hAnsi="Garamond" w:cs="Arial"/>
        </w:rPr>
        <w:t xml:space="preserve"> </w:t>
      </w:r>
      <w:r w:rsidRPr="00C04C4B">
        <w:rPr>
          <w:rFonts w:ascii="Garamond" w:hAnsi="Garamond" w:cs="Arial"/>
        </w:rPr>
        <w:t>debe</w:t>
      </w:r>
      <w:r w:rsidRPr="00C04C4B">
        <w:rPr>
          <w:rFonts w:ascii="Garamond" w:eastAsia="Arial" w:hAnsi="Garamond" w:cs="Arial"/>
        </w:rPr>
        <w:t xml:space="preserve"> </w:t>
      </w:r>
      <w:r w:rsidRPr="00C04C4B">
        <w:rPr>
          <w:rFonts w:ascii="Garamond" w:hAnsi="Garamond" w:cs="Arial"/>
        </w:rPr>
        <w:t>calcularse</w:t>
      </w:r>
      <w:r w:rsidRPr="00C04C4B">
        <w:rPr>
          <w:rFonts w:ascii="Garamond" w:eastAsia="Arial" w:hAnsi="Garamond" w:cs="Arial"/>
        </w:rPr>
        <w:t xml:space="preserve"> </w:t>
      </w:r>
      <w:r w:rsidRPr="00C04C4B">
        <w:rPr>
          <w:rFonts w:ascii="Garamond" w:hAnsi="Garamond" w:cs="Arial"/>
        </w:rPr>
        <w:t>así:</w:t>
      </w:r>
      <w:r w:rsidRPr="00C04C4B">
        <w:rPr>
          <w:rFonts w:ascii="Garamond" w:eastAsia="Arial" w:hAnsi="Garamond" w:cs="Arial"/>
        </w:rPr>
        <w:t xml:space="preserve"> </w:t>
      </w:r>
    </w:p>
    <w:p w14:paraId="29B18FC9" w14:textId="77777777" w:rsidR="00C04C4B" w:rsidRPr="00C04C4B" w:rsidRDefault="00C04C4B" w:rsidP="00C04C4B">
      <w:pPr>
        <w:rPr>
          <w:rFonts w:ascii="Garamond" w:eastAsia="Arial" w:hAnsi="Garamond" w:cs="Arial"/>
        </w:rPr>
      </w:pPr>
    </w:p>
    <w:p w14:paraId="1BE5CA38" w14:textId="77777777" w:rsidR="00C04C4B" w:rsidRPr="00C04C4B" w:rsidRDefault="00C04C4B" w:rsidP="00C04C4B">
      <w:pPr>
        <w:rPr>
          <w:rFonts w:ascii="Garamond" w:hAnsi="Garamond" w:cs="Arial"/>
        </w:rPr>
      </w:pPr>
      <m:oMathPara>
        <m:oMath>
          <m:r>
            <m:rPr>
              <m:sty m:val="p"/>
            </m:rPr>
            <w:rPr>
              <w:rFonts w:ascii="Cambria Math" w:hAnsi="Cambria Math" w:cs="Arial"/>
            </w:rPr>
            <m:t>Indicador =</m:t>
          </m:r>
          <m:f>
            <m:fPr>
              <m:ctrlPr>
                <w:rPr>
                  <w:rFonts w:ascii="Cambria Math" w:hAnsi="Cambria Math" w:cs="Arial"/>
                </w:rPr>
              </m:ctrlPr>
            </m:fPr>
            <m:num>
              <m:r>
                <w:rPr>
                  <w:rFonts w:ascii="Cambria Math" w:hAnsi="Cambria Math" w:cs="Arial"/>
                </w:rPr>
                <m:t>(</m:t>
              </m:r>
              <m:nary>
                <m:naryPr>
                  <m:chr m:val="∑"/>
                  <m:limLoc m:val="undOvr"/>
                  <m:ctrlPr>
                    <w:rPr>
                      <w:rFonts w:ascii="Cambria Math" w:hAnsi="Cambria Math" w:cs="Arial"/>
                    </w:rPr>
                  </m:ctrlPr>
                </m:naryPr>
                <m:sub>
                  <m:r>
                    <m:rPr>
                      <m:sty m:val="p"/>
                    </m:rPr>
                    <w:rPr>
                      <w:rFonts w:ascii="Cambria Math" w:hAnsi="Cambria Math" w:cs="Arial"/>
                    </w:rPr>
                    <m:t>i=1</m:t>
                  </m:r>
                </m:sub>
                <m:sup>
                  <m:r>
                    <m:rPr>
                      <m:sty m:val="p"/>
                    </m:rPr>
                    <w:rPr>
                      <w:rFonts w:ascii="Cambria Math" w:hAnsi="Cambria Math" w:cs="Arial"/>
                    </w:rPr>
                    <m:t>n</m:t>
                  </m:r>
                </m:sup>
                <m:e>
                  <m:sSub>
                    <m:sSubPr>
                      <m:ctrlPr>
                        <w:rPr>
                          <w:rFonts w:ascii="Cambria Math" w:hAnsi="Cambria Math" w:cs="Arial"/>
                        </w:rPr>
                      </m:ctrlPr>
                    </m:sSubPr>
                    <m:e>
                      <m:r>
                        <m:rPr>
                          <m:sty m:val="p"/>
                        </m:rPr>
                        <w:rPr>
                          <w:rFonts w:ascii="Cambria Math" w:hAnsi="Cambria Math" w:cs="Arial"/>
                        </w:rPr>
                        <m:t>Componente 1 del indicador</m:t>
                      </m:r>
                    </m:e>
                    <m:sub>
                      <m:r>
                        <m:rPr>
                          <m:sty m:val="p"/>
                        </m:rPr>
                        <w:rPr>
                          <w:rFonts w:ascii="Cambria Math" w:hAnsi="Cambria Math" w:cs="Arial"/>
                        </w:rPr>
                        <m:t>i</m:t>
                      </m:r>
                    </m:sub>
                  </m:sSub>
                  <m:r>
                    <m:rPr>
                      <m:sty m:val="p"/>
                    </m:rPr>
                    <w:rPr>
                      <w:rFonts w:ascii="Cambria Math" w:hAnsi="Cambria Math" w:cs="Arial"/>
                    </w:rPr>
                    <m:t xml:space="preserve">) </m:t>
                  </m:r>
                </m:e>
              </m:nary>
            </m:num>
            <m:den>
              <m:r>
                <w:rPr>
                  <w:rFonts w:ascii="Cambria Math" w:hAnsi="Cambria Math" w:cs="Arial"/>
                </w:rPr>
                <m:t>(</m:t>
              </m:r>
              <m:nary>
                <m:naryPr>
                  <m:chr m:val="∑"/>
                  <m:limLoc m:val="undOvr"/>
                  <m:ctrlPr>
                    <w:rPr>
                      <w:rFonts w:ascii="Cambria Math" w:hAnsi="Cambria Math" w:cs="Arial"/>
                    </w:rPr>
                  </m:ctrlPr>
                </m:naryPr>
                <m:sub>
                  <m:r>
                    <m:rPr>
                      <m:sty m:val="p"/>
                    </m:rPr>
                    <w:rPr>
                      <w:rFonts w:ascii="Cambria Math" w:hAnsi="Cambria Math" w:cs="Arial"/>
                    </w:rPr>
                    <m:t>i=1</m:t>
                  </m:r>
                </m:sub>
                <m:sup>
                  <m:r>
                    <m:rPr>
                      <m:sty m:val="p"/>
                    </m:rPr>
                    <w:rPr>
                      <w:rFonts w:ascii="Cambria Math" w:hAnsi="Cambria Math" w:cs="Arial"/>
                    </w:rPr>
                    <m:t>n</m:t>
                  </m:r>
                </m:sup>
                <m:e>
                  <m:sSub>
                    <m:sSubPr>
                      <m:ctrlPr>
                        <w:rPr>
                          <w:rFonts w:ascii="Cambria Math" w:hAnsi="Cambria Math" w:cs="Arial"/>
                        </w:rPr>
                      </m:ctrlPr>
                    </m:sSubPr>
                    <m:e>
                      <m:r>
                        <m:rPr>
                          <m:sty m:val="p"/>
                        </m:rPr>
                        <w:rPr>
                          <w:rFonts w:ascii="Cambria Math" w:hAnsi="Cambria Math" w:cs="Arial"/>
                        </w:rPr>
                        <m:t>Componente 2 del indicador</m:t>
                      </m:r>
                    </m:e>
                    <m:sub>
                      <m:r>
                        <m:rPr>
                          <m:sty m:val="p"/>
                        </m:rPr>
                        <w:rPr>
                          <w:rFonts w:ascii="Cambria Math" w:hAnsi="Cambria Math" w:cs="Arial"/>
                        </w:rPr>
                        <m:t>i</m:t>
                      </m:r>
                    </m:sub>
                  </m:sSub>
                  <m:r>
                    <m:rPr>
                      <m:sty m:val="p"/>
                    </m:rPr>
                    <w:rPr>
                      <w:rFonts w:ascii="Cambria Math" w:hAnsi="Cambria Math" w:cs="Arial"/>
                    </w:rPr>
                    <m:t xml:space="preserve">) </m:t>
                  </m:r>
                </m:e>
              </m:nary>
            </m:den>
          </m:f>
        </m:oMath>
      </m:oMathPara>
    </w:p>
    <w:p w14:paraId="598B82A9" w14:textId="77777777" w:rsidR="00C04C4B" w:rsidRPr="00C04C4B" w:rsidRDefault="00C04C4B" w:rsidP="00C04C4B">
      <w:pPr>
        <w:rPr>
          <w:rFonts w:ascii="Garamond" w:hAnsi="Garamond" w:cs="Arial"/>
        </w:rPr>
      </w:pPr>
    </w:p>
    <w:p w14:paraId="58206FB3" w14:textId="77777777" w:rsidR="00C04C4B" w:rsidRPr="00C04C4B" w:rsidRDefault="00C04C4B" w:rsidP="00C04C4B">
      <w:pPr>
        <w:rPr>
          <w:rFonts w:ascii="Garamond" w:hAnsi="Garamond" w:cs="Arial"/>
        </w:rPr>
      </w:pPr>
      <w:r w:rsidRPr="00C04C4B">
        <w:rPr>
          <w:rFonts w:ascii="Garamond" w:hAnsi="Garamond" w:cs="Arial"/>
        </w:rPr>
        <w:t>Donde</w:t>
      </w:r>
      <w:r w:rsidRPr="00C04C4B">
        <w:rPr>
          <w:rFonts w:ascii="Garamond" w:eastAsia="Arial" w:hAnsi="Garamond" w:cs="Arial"/>
        </w:rPr>
        <w:t xml:space="preserve"> </w:t>
      </w:r>
      <m:oMath>
        <m:r>
          <w:rPr>
            <w:rFonts w:ascii="Cambria Math" w:hAnsi="Cambria Math" w:cs="Arial"/>
          </w:rPr>
          <m:t>n</m:t>
        </m:r>
      </m:oMath>
      <w:r w:rsidRPr="00C04C4B">
        <w:rPr>
          <w:rFonts w:ascii="Garamond" w:eastAsia="Arial" w:hAnsi="Garamond" w:cs="Arial"/>
        </w:rPr>
        <w:t xml:space="preserve"> </w:t>
      </w:r>
      <w:r w:rsidRPr="00C04C4B">
        <w:rPr>
          <w:rFonts w:ascii="Garamond" w:hAnsi="Garamond" w:cs="Arial"/>
        </w:rPr>
        <w:t>es</w:t>
      </w:r>
      <w:r w:rsidRPr="00C04C4B">
        <w:rPr>
          <w:rFonts w:ascii="Garamond" w:eastAsia="Arial" w:hAnsi="Garamond" w:cs="Arial"/>
        </w:rPr>
        <w:t xml:space="preserve"> </w:t>
      </w:r>
      <w:r w:rsidRPr="00C04C4B">
        <w:rPr>
          <w:rFonts w:ascii="Garamond" w:hAnsi="Garamond" w:cs="Arial"/>
        </w:rPr>
        <w:t>el</w:t>
      </w:r>
      <w:r w:rsidRPr="00C04C4B">
        <w:rPr>
          <w:rFonts w:ascii="Garamond" w:eastAsia="Arial" w:hAnsi="Garamond" w:cs="Arial"/>
        </w:rPr>
        <w:t xml:space="preserve"> </w:t>
      </w:r>
      <w:r w:rsidRPr="00C04C4B">
        <w:rPr>
          <w:rFonts w:ascii="Garamond" w:hAnsi="Garamond" w:cs="Arial"/>
        </w:rPr>
        <w:t>número</w:t>
      </w:r>
      <w:r w:rsidRPr="00C04C4B">
        <w:rPr>
          <w:rFonts w:ascii="Garamond" w:eastAsia="Arial" w:hAnsi="Garamond" w:cs="Arial"/>
        </w:rPr>
        <w:t xml:space="preserve"> </w:t>
      </w:r>
      <w:r w:rsidRPr="00C04C4B">
        <w:rPr>
          <w:rFonts w:ascii="Garamond" w:hAnsi="Garamond" w:cs="Arial"/>
        </w:rPr>
        <w:t>de</w:t>
      </w:r>
      <w:r w:rsidRPr="00C04C4B">
        <w:rPr>
          <w:rFonts w:ascii="Garamond" w:eastAsia="Arial" w:hAnsi="Garamond" w:cs="Arial"/>
        </w:rPr>
        <w:t xml:space="preserve"> </w:t>
      </w:r>
      <w:r w:rsidRPr="00C04C4B">
        <w:rPr>
          <w:rFonts w:ascii="Garamond" w:hAnsi="Garamond" w:cs="Arial"/>
        </w:rPr>
        <w:t>integrantes</w:t>
      </w:r>
      <w:r w:rsidRPr="00C04C4B">
        <w:rPr>
          <w:rFonts w:ascii="Garamond" w:eastAsia="Arial" w:hAnsi="Garamond" w:cs="Arial"/>
        </w:rPr>
        <w:t xml:space="preserve"> </w:t>
      </w:r>
      <w:r w:rsidRPr="00C04C4B">
        <w:rPr>
          <w:rFonts w:ascii="Garamond" w:hAnsi="Garamond" w:cs="Arial"/>
        </w:rPr>
        <w:t>del</w:t>
      </w:r>
      <w:r w:rsidRPr="00C04C4B">
        <w:rPr>
          <w:rFonts w:ascii="Garamond" w:eastAsia="Arial" w:hAnsi="Garamond" w:cs="Arial"/>
        </w:rPr>
        <w:t xml:space="preserve"> </w:t>
      </w:r>
      <w:r w:rsidRPr="00C04C4B">
        <w:rPr>
          <w:rFonts w:ascii="Garamond" w:hAnsi="Garamond" w:cs="Arial"/>
        </w:rPr>
        <w:t>Proponente</w:t>
      </w:r>
      <w:r w:rsidRPr="00C04C4B">
        <w:rPr>
          <w:rFonts w:ascii="Garamond" w:eastAsia="Arial" w:hAnsi="Garamond" w:cs="Arial"/>
        </w:rPr>
        <w:t xml:space="preserve"> </w:t>
      </w:r>
      <w:r w:rsidRPr="00C04C4B">
        <w:rPr>
          <w:rFonts w:ascii="Garamond" w:hAnsi="Garamond" w:cs="Arial"/>
        </w:rPr>
        <w:t>Plural</w:t>
      </w:r>
      <w:r w:rsidRPr="00C04C4B">
        <w:rPr>
          <w:rFonts w:ascii="Garamond" w:eastAsia="Arial" w:hAnsi="Garamond" w:cs="Arial"/>
        </w:rPr>
        <w:t xml:space="preserve"> </w:t>
      </w:r>
      <w:r w:rsidRPr="00C04C4B">
        <w:rPr>
          <w:rFonts w:ascii="Garamond" w:hAnsi="Garamond" w:cs="Arial"/>
        </w:rPr>
        <w:t>(Unión</w:t>
      </w:r>
      <w:r w:rsidRPr="00C04C4B">
        <w:rPr>
          <w:rFonts w:ascii="Garamond" w:eastAsia="Arial" w:hAnsi="Garamond" w:cs="Arial"/>
        </w:rPr>
        <w:t xml:space="preserve"> </w:t>
      </w:r>
      <w:r w:rsidRPr="00C04C4B">
        <w:rPr>
          <w:rFonts w:ascii="Garamond" w:hAnsi="Garamond" w:cs="Arial"/>
        </w:rPr>
        <w:t>Temporal</w:t>
      </w:r>
      <w:r w:rsidRPr="00C04C4B">
        <w:rPr>
          <w:rFonts w:ascii="Garamond" w:eastAsia="Arial" w:hAnsi="Garamond" w:cs="Arial"/>
        </w:rPr>
        <w:t xml:space="preserve"> </w:t>
      </w:r>
      <w:r w:rsidRPr="00C04C4B">
        <w:rPr>
          <w:rFonts w:ascii="Garamond" w:hAnsi="Garamond" w:cs="Arial"/>
        </w:rPr>
        <w:t>o</w:t>
      </w:r>
      <w:r w:rsidRPr="00C04C4B">
        <w:rPr>
          <w:rFonts w:ascii="Garamond" w:eastAsia="Arial" w:hAnsi="Garamond" w:cs="Arial"/>
        </w:rPr>
        <w:t xml:space="preserve"> </w:t>
      </w:r>
      <w:r w:rsidRPr="00C04C4B">
        <w:rPr>
          <w:rFonts w:ascii="Garamond" w:hAnsi="Garamond" w:cs="Arial"/>
        </w:rPr>
        <w:t>Consorcio).</w:t>
      </w:r>
    </w:p>
    <w:p w14:paraId="6F6A0BDA" w14:textId="77777777" w:rsidR="00C04C4B" w:rsidRPr="00C04C4B" w:rsidRDefault="00C04C4B" w:rsidP="00C04C4B">
      <w:pPr>
        <w:rPr>
          <w:rFonts w:ascii="Garamond" w:hAnsi="Garamond" w:cs="Arial"/>
        </w:rPr>
      </w:pPr>
    </w:p>
    <w:p w14:paraId="5255A4A1" w14:textId="77777777" w:rsidR="00C04C4B" w:rsidRPr="00C04C4B" w:rsidRDefault="00C04C4B" w:rsidP="00C04C4B">
      <w:pPr>
        <w:jc w:val="both"/>
        <w:rPr>
          <w:rFonts w:ascii="Garamond" w:hAnsi="Garamond" w:cs="Arial"/>
        </w:rPr>
      </w:pPr>
      <w:r w:rsidRPr="00C04C4B">
        <w:rPr>
          <w:rFonts w:ascii="Garamond" w:hAnsi="Garamond" w:cs="Arial"/>
        </w:rPr>
        <w:t xml:space="preserve">El Proponente que demuestre la condición de </w:t>
      </w:r>
      <w:proofErr w:type="spellStart"/>
      <w:r w:rsidRPr="00C04C4B">
        <w:rPr>
          <w:rFonts w:ascii="Garamond" w:hAnsi="Garamond" w:cs="Arial"/>
        </w:rPr>
        <w:t>Mipyme</w:t>
      </w:r>
      <w:proofErr w:type="spellEnd"/>
      <w:r w:rsidRPr="00C04C4B">
        <w:rPr>
          <w:rFonts w:ascii="Garamond" w:hAnsi="Garamond" w:cs="Arial"/>
        </w:rPr>
        <w:t xml:space="preserve"> domiciliada en Colombia acreditará la Capacidad </w:t>
      </w:r>
      <w:r w:rsidRPr="00C04C4B">
        <w:rPr>
          <w:rFonts w:ascii="Garamond" w:hAnsi="Garamond" w:cs="Arial"/>
        </w:rPr>
        <w:lastRenderedPageBreak/>
        <w:t xml:space="preserve">Organizacional de acuerdo con los indicadores señalados en la “Matriz 2 – Indicadores financieros y organizacionales”. El Proponente probará la calidad de </w:t>
      </w:r>
      <w:proofErr w:type="spellStart"/>
      <w:r w:rsidRPr="00C04C4B">
        <w:rPr>
          <w:rFonts w:ascii="Garamond" w:hAnsi="Garamond" w:cs="Arial"/>
        </w:rPr>
        <w:t>Mipyme</w:t>
      </w:r>
      <w:proofErr w:type="spellEnd"/>
      <w:r w:rsidRPr="00C04C4B">
        <w:rPr>
          <w:rFonts w:ascii="Garamond" w:hAnsi="Garamond" w:cs="Arial"/>
        </w:rPr>
        <w:t xml:space="preserve"> con la copia del certificado del Registro Único de Proponentes (</w:t>
      </w:r>
      <w:proofErr w:type="spellStart"/>
      <w:r w:rsidRPr="00C04C4B">
        <w:rPr>
          <w:rFonts w:ascii="Garamond" w:hAnsi="Garamond" w:cs="Arial"/>
        </w:rPr>
        <w:t>RUP</w:t>
      </w:r>
      <w:proofErr w:type="spellEnd"/>
      <w:r w:rsidRPr="00C04C4B">
        <w:rPr>
          <w:rFonts w:ascii="Garamond" w:hAnsi="Garamond" w:cs="Arial"/>
        </w:rPr>
        <w:t>), el cual deberá encontrarse vigente y en firme al momento de su presentación.</w:t>
      </w:r>
    </w:p>
    <w:p w14:paraId="3A9986D6" w14:textId="099E7749" w:rsidR="00C04C4B" w:rsidRPr="00C04C4B" w:rsidRDefault="00C04C4B" w:rsidP="00A23238">
      <w:pPr>
        <w:pStyle w:val="Capitulo1"/>
        <w:numPr>
          <w:ilvl w:val="1"/>
          <w:numId w:val="54"/>
        </w:numPr>
        <w:tabs>
          <w:tab w:val="left" w:pos="851"/>
        </w:tabs>
        <w:spacing w:line="240" w:lineRule="auto"/>
        <w:jc w:val="both"/>
        <w:rPr>
          <w:rFonts w:ascii="Garamond" w:eastAsia="Arial" w:hAnsi="Garamond"/>
          <w:color w:val="auto"/>
          <w:sz w:val="22"/>
          <w:szCs w:val="22"/>
        </w:rPr>
      </w:pPr>
      <w:bookmarkStart w:id="349" w:name="_Toc517187236"/>
      <w:bookmarkStart w:id="350" w:name="_Toc517187783"/>
      <w:bookmarkStart w:id="351" w:name="_Toc517187846"/>
      <w:bookmarkStart w:id="352" w:name="_Toc517189243"/>
      <w:bookmarkStart w:id="353" w:name="_Toc517247448"/>
      <w:bookmarkStart w:id="354" w:name="_Toc518033897"/>
      <w:bookmarkStart w:id="355" w:name="_Toc517187237"/>
      <w:bookmarkStart w:id="356" w:name="_Toc517187784"/>
      <w:bookmarkStart w:id="357" w:name="_Toc517187847"/>
      <w:bookmarkStart w:id="358" w:name="_Toc517189244"/>
      <w:bookmarkStart w:id="359" w:name="_Toc517247449"/>
      <w:bookmarkStart w:id="360" w:name="_Toc518033898"/>
      <w:bookmarkStart w:id="361" w:name="_Toc517187238"/>
      <w:bookmarkStart w:id="362" w:name="_Toc517187785"/>
      <w:bookmarkStart w:id="363" w:name="_Toc517187848"/>
      <w:bookmarkStart w:id="364" w:name="_Toc517189245"/>
      <w:bookmarkStart w:id="365" w:name="_Toc517247450"/>
      <w:bookmarkStart w:id="366" w:name="_Toc518033899"/>
      <w:bookmarkStart w:id="367" w:name="_Toc508648274"/>
      <w:bookmarkStart w:id="368" w:name="_Toc508984058"/>
      <w:bookmarkStart w:id="369" w:name="_Toc509843889"/>
      <w:bookmarkStart w:id="370" w:name="_Toc511924797"/>
      <w:bookmarkStart w:id="371" w:name="_Toc520226886"/>
      <w:bookmarkStart w:id="372" w:name="_Toc520297856"/>
      <w:bookmarkStart w:id="373" w:name="_Toc520317121"/>
      <w:bookmarkStart w:id="374" w:name="_Toc533083724"/>
      <w:bookmarkStart w:id="375" w:name="_Ref775718"/>
      <w:bookmarkStart w:id="376" w:name="_Toc35616392"/>
      <w:bookmarkStart w:id="377" w:name="_Toc40113354"/>
      <w:bookmarkStart w:id="378" w:name="_Toc108082917"/>
      <w:bookmarkStart w:id="379" w:name="_Toc215132445"/>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r w:rsidRPr="00C04C4B">
        <w:rPr>
          <w:rFonts w:ascii="Garamond" w:eastAsia="Arial" w:hAnsi="Garamond"/>
          <w:color w:val="auto"/>
          <w:sz w:val="22"/>
          <w:szCs w:val="22"/>
        </w:rPr>
        <w:t>ACREDITACIÓN DE LA CAPACIDAD FINANCIERA Y ORGANIZACIONAL</w:t>
      </w:r>
      <w:bookmarkStart w:id="380" w:name="_Toc35616393"/>
      <w:bookmarkEnd w:id="367"/>
      <w:bookmarkEnd w:id="368"/>
      <w:bookmarkEnd w:id="369"/>
      <w:bookmarkEnd w:id="370"/>
      <w:bookmarkEnd w:id="371"/>
      <w:bookmarkEnd w:id="372"/>
      <w:bookmarkEnd w:id="373"/>
      <w:bookmarkEnd w:id="374"/>
      <w:bookmarkEnd w:id="375"/>
      <w:bookmarkEnd w:id="376"/>
      <w:bookmarkEnd w:id="377"/>
      <w:bookmarkEnd w:id="378"/>
      <w:bookmarkEnd w:id="379"/>
    </w:p>
    <w:p w14:paraId="2ED68B1F" w14:textId="743DBCE2" w:rsidR="00C04C4B" w:rsidRPr="00C04C4B" w:rsidRDefault="00C04C4B" w:rsidP="00A23238">
      <w:pPr>
        <w:pStyle w:val="Capitulo1"/>
        <w:numPr>
          <w:ilvl w:val="2"/>
          <w:numId w:val="54"/>
        </w:numPr>
        <w:tabs>
          <w:tab w:val="left" w:pos="851"/>
        </w:tabs>
        <w:spacing w:line="240" w:lineRule="auto"/>
        <w:jc w:val="both"/>
        <w:rPr>
          <w:rFonts w:ascii="Garamond" w:eastAsia="Arial" w:hAnsi="Garamond"/>
          <w:color w:val="auto"/>
          <w:sz w:val="22"/>
          <w:szCs w:val="22"/>
        </w:rPr>
      </w:pPr>
      <w:bookmarkStart w:id="381" w:name="_Toc215132446"/>
      <w:r w:rsidRPr="00C04C4B">
        <w:rPr>
          <w:rFonts w:ascii="Garamond" w:eastAsia="Arial" w:hAnsi="Garamond"/>
          <w:color w:val="auto"/>
          <w:sz w:val="22"/>
          <w:szCs w:val="22"/>
        </w:rPr>
        <w:t>PERSONAS NATURALES O JURÍDICAS NACIONALES Y EXTRANJERAS CON DOMICILIO O SUCURSAL EN COLOMBIA</w:t>
      </w:r>
      <w:bookmarkEnd w:id="380"/>
      <w:bookmarkEnd w:id="381"/>
    </w:p>
    <w:p w14:paraId="77A3F3C2" w14:textId="77777777" w:rsidR="00C04C4B" w:rsidRPr="00C04C4B" w:rsidRDefault="00C04C4B" w:rsidP="00C04C4B">
      <w:pPr>
        <w:pStyle w:val="InviasNormal"/>
        <w:jc w:val="both"/>
        <w:rPr>
          <w:rFonts w:ascii="Garamond" w:hAnsi="Garamond" w:cs="Arial"/>
          <w:sz w:val="22"/>
          <w:szCs w:val="22"/>
          <w:lang w:val="es-CO"/>
        </w:rPr>
      </w:pPr>
      <w:r w:rsidRPr="00C04C4B">
        <w:rPr>
          <w:rFonts w:ascii="Garamond" w:hAnsi="Garamond" w:cs="Arial"/>
          <w:sz w:val="22"/>
          <w:szCs w:val="22"/>
          <w:lang w:val="es-CO"/>
        </w:rPr>
        <w:t xml:space="preserve">La evaluación financiera y organizacional de las propuestas se efectuará a partir de la información contenida en el Registro Único de Proponentes vigente y en firme al momento de su presentación. En tal sentido, la evaluación de la Capacidad Financiera se realizará de acuerdo con la información reportada en el </w:t>
      </w:r>
      <w:proofErr w:type="spellStart"/>
      <w:r w:rsidRPr="00C04C4B">
        <w:rPr>
          <w:rFonts w:ascii="Garamond" w:hAnsi="Garamond" w:cs="Arial"/>
          <w:sz w:val="22"/>
          <w:szCs w:val="22"/>
          <w:lang w:val="es-CO"/>
        </w:rPr>
        <w:t>RUP</w:t>
      </w:r>
      <w:proofErr w:type="spellEnd"/>
      <w:r w:rsidRPr="00C04C4B">
        <w:rPr>
          <w:rFonts w:ascii="Garamond" w:hAnsi="Garamond" w:cs="Arial"/>
          <w:sz w:val="22"/>
          <w:szCs w:val="22"/>
          <w:lang w:val="es-CO"/>
        </w:rPr>
        <w:t>, conforme con las disposiciones establecidas en las Subsecciones 5 y 6, de la Sección 1, del Capítulo 1, del Título 1, de la Parte 2 del Decreto 1082 de 2015 o las normas que las modifiquen, adicionen o sustituyan.</w:t>
      </w:r>
    </w:p>
    <w:p w14:paraId="67CB4EF6" w14:textId="77777777" w:rsidR="00C04C4B" w:rsidRPr="00C04C4B" w:rsidRDefault="00C04C4B" w:rsidP="00C04C4B">
      <w:pPr>
        <w:jc w:val="both"/>
        <w:rPr>
          <w:rFonts w:ascii="Garamond" w:eastAsia="Arial" w:hAnsi="Garamond" w:cs="Arial"/>
        </w:rPr>
      </w:pPr>
      <w:r w:rsidRPr="00C04C4B">
        <w:rPr>
          <w:rFonts w:ascii="Garamond" w:eastAsia="Arial" w:hAnsi="Garamond" w:cs="Arial"/>
        </w:rPr>
        <w:t>Los Proponentes extranjeros sin domicilio o Sucursal en Colombia no están obligados a tener Registro Único de Proponentes (</w:t>
      </w:r>
      <w:proofErr w:type="spellStart"/>
      <w:r w:rsidRPr="00C04C4B">
        <w:rPr>
          <w:rFonts w:ascii="Garamond" w:eastAsia="Arial" w:hAnsi="Garamond" w:cs="Arial"/>
        </w:rPr>
        <w:t>RUP</w:t>
      </w:r>
      <w:proofErr w:type="spellEnd"/>
      <w:r w:rsidRPr="00C04C4B">
        <w:rPr>
          <w:rFonts w:ascii="Garamond" w:eastAsia="Arial" w:hAnsi="Garamond" w:cs="Arial"/>
        </w:rPr>
        <w:t>) y por tanto la verificación de esta información procederá en los términos definidos en el siguiente numeral.</w:t>
      </w:r>
    </w:p>
    <w:p w14:paraId="7DA12C5F" w14:textId="77777777" w:rsidR="00C04C4B" w:rsidRPr="00C04C4B" w:rsidRDefault="00C04C4B" w:rsidP="00C04C4B">
      <w:pPr>
        <w:jc w:val="both"/>
        <w:rPr>
          <w:rFonts w:ascii="Garamond" w:eastAsia="Arial" w:hAnsi="Garamond" w:cs="Arial"/>
        </w:rPr>
      </w:pPr>
    </w:p>
    <w:p w14:paraId="2B304621" w14:textId="505BF03F" w:rsidR="00C04C4B" w:rsidRPr="00C04C4B" w:rsidRDefault="00C04C4B" w:rsidP="00A23238">
      <w:pPr>
        <w:pStyle w:val="Capitulo1"/>
        <w:numPr>
          <w:ilvl w:val="2"/>
          <w:numId w:val="54"/>
        </w:numPr>
        <w:tabs>
          <w:tab w:val="left" w:pos="851"/>
        </w:tabs>
        <w:spacing w:line="240" w:lineRule="auto"/>
        <w:jc w:val="both"/>
        <w:rPr>
          <w:rFonts w:ascii="Garamond" w:eastAsia="Arial" w:hAnsi="Garamond"/>
          <w:color w:val="auto"/>
          <w:sz w:val="22"/>
          <w:szCs w:val="22"/>
        </w:rPr>
      </w:pPr>
      <w:bookmarkStart w:id="382" w:name="_Ref776902"/>
      <w:bookmarkStart w:id="383" w:name="_Toc35616394"/>
      <w:bookmarkStart w:id="384" w:name="_Toc215132447"/>
      <w:r w:rsidRPr="00C04C4B">
        <w:rPr>
          <w:rFonts w:ascii="Garamond" w:eastAsia="Arial" w:hAnsi="Garamond"/>
          <w:color w:val="auto"/>
          <w:sz w:val="22"/>
          <w:szCs w:val="22"/>
        </w:rPr>
        <w:t>PERSONAS NATURALES O JURÍDICAS EXTRANJERAS SIN DOMICILIO O SUCURSAL EN COLOMBIA</w:t>
      </w:r>
      <w:bookmarkStart w:id="385" w:name="_Hlk516154006"/>
      <w:bookmarkEnd w:id="382"/>
      <w:bookmarkEnd w:id="383"/>
      <w:bookmarkEnd w:id="384"/>
    </w:p>
    <w:p w14:paraId="75FF1F26" w14:textId="77777777" w:rsidR="00C04C4B" w:rsidRPr="00C04C4B" w:rsidRDefault="00C04C4B" w:rsidP="00C04C4B">
      <w:pPr>
        <w:tabs>
          <w:tab w:val="left" w:pos="5103"/>
        </w:tabs>
        <w:jc w:val="both"/>
        <w:rPr>
          <w:rFonts w:ascii="Garamond" w:hAnsi="Garamond" w:cs="Arial"/>
        </w:rPr>
      </w:pPr>
      <w:bookmarkStart w:id="386" w:name="_Hlk516154029"/>
      <w:bookmarkEnd w:id="385"/>
    </w:p>
    <w:p w14:paraId="575AF9BA" w14:textId="77777777" w:rsidR="00C04C4B" w:rsidRPr="00C04C4B" w:rsidRDefault="00C04C4B" w:rsidP="00C04C4B">
      <w:pPr>
        <w:tabs>
          <w:tab w:val="left" w:pos="5103"/>
        </w:tabs>
        <w:jc w:val="both"/>
        <w:rPr>
          <w:rFonts w:ascii="Garamond" w:eastAsia="Arial" w:hAnsi="Garamond" w:cs="Arial"/>
        </w:rPr>
      </w:pPr>
      <w:r w:rsidRPr="00C04C4B">
        <w:rPr>
          <w:rFonts w:ascii="Garamond" w:hAnsi="Garamond" w:cs="Arial"/>
        </w:rPr>
        <w:t>Los</w:t>
      </w:r>
      <w:r w:rsidRPr="00C04C4B">
        <w:rPr>
          <w:rFonts w:ascii="Garamond" w:eastAsia="Arial" w:hAnsi="Garamond" w:cs="Arial"/>
        </w:rPr>
        <w:t xml:space="preserve"> </w:t>
      </w:r>
      <w:r w:rsidRPr="00C04C4B">
        <w:rPr>
          <w:rFonts w:ascii="Garamond" w:hAnsi="Garamond" w:cs="Arial"/>
        </w:rPr>
        <w:t>Proponentes</w:t>
      </w:r>
      <w:r w:rsidRPr="00C04C4B">
        <w:rPr>
          <w:rFonts w:ascii="Garamond" w:eastAsia="Arial" w:hAnsi="Garamond" w:cs="Arial"/>
        </w:rPr>
        <w:t xml:space="preserve"> </w:t>
      </w:r>
      <w:r w:rsidRPr="00C04C4B">
        <w:rPr>
          <w:rFonts w:ascii="Garamond" w:hAnsi="Garamond" w:cs="Arial"/>
        </w:rPr>
        <w:t>extranjeros</w:t>
      </w:r>
      <w:r w:rsidRPr="00C04C4B">
        <w:rPr>
          <w:rFonts w:ascii="Garamond" w:eastAsia="Arial" w:hAnsi="Garamond" w:cs="Arial"/>
        </w:rPr>
        <w:t xml:space="preserve"> sin domicilio o Sucursal en Colombia </w:t>
      </w:r>
      <w:r w:rsidRPr="00C04C4B">
        <w:rPr>
          <w:rFonts w:ascii="Garamond" w:hAnsi="Garamond" w:cs="Arial"/>
        </w:rPr>
        <w:t>deberán</w:t>
      </w:r>
      <w:r w:rsidRPr="00C04C4B">
        <w:rPr>
          <w:rFonts w:ascii="Garamond" w:eastAsia="Arial" w:hAnsi="Garamond" w:cs="Arial"/>
        </w:rPr>
        <w:t xml:space="preserve"> </w:t>
      </w:r>
      <w:r w:rsidRPr="00C04C4B">
        <w:rPr>
          <w:rFonts w:ascii="Garamond" w:hAnsi="Garamond" w:cs="Arial"/>
        </w:rPr>
        <w:t>allegar</w:t>
      </w:r>
      <w:r w:rsidRPr="00C04C4B">
        <w:rPr>
          <w:rFonts w:ascii="Garamond" w:eastAsia="Arial" w:hAnsi="Garamond" w:cs="Arial"/>
        </w:rPr>
        <w:t xml:space="preserve"> </w:t>
      </w:r>
      <w:r w:rsidRPr="00C04C4B">
        <w:rPr>
          <w:rFonts w:ascii="Garamond" w:hAnsi="Garamond" w:cs="Arial"/>
        </w:rPr>
        <w:t>la</w:t>
      </w:r>
      <w:r w:rsidRPr="00C04C4B">
        <w:rPr>
          <w:rFonts w:ascii="Garamond" w:eastAsia="Arial" w:hAnsi="Garamond" w:cs="Arial"/>
        </w:rPr>
        <w:t xml:space="preserve"> </w:t>
      </w:r>
      <w:r w:rsidRPr="00C04C4B">
        <w:rPr>
          <w:rFonts w:ascii="Garamond" w:hAnsi="Garamond" w:cs="Arial"/>
        </w:rPr>
        <w:t>siguiente</w:t>
      </w:r>
      <w:r w:rsidRPr="00C04C4B">
        <w:rPr>
          <w:rFonts w:ascii="Garamond" w:eastAsia="Arial" w:hAnsi="Garamond" w:cs="Arial"/>
        </w:rPr>
        <w:t xml:space="preserve"> </w:t>
      </w:r>
      <w:r w:rsidRPr="00C04C4B">
        <w:rPr>
          <w:rFonts w:ascii="Garamond" w:hAnsi="Garamond" w:cs="Arial"/>
        </w:rPr>
        <w:t>información</w:t>
      </w:r>
      <w:r w:rsidRPr="00C04C4B">
        <w:rPr>
          <w:rFonts w:ascii="Garamond" w:eastAsia="Arial" w:hAnsi="Garamond" w:cs="Arial"/>
        </w:rPr>
        <w:t xml:space="preserve"> </w:t>
      </w:r>
      <w:r w:rsidRPr="00C04C4B">
        <w:rPr>
          <w:rFonts w:ascii="Garamond" w:hAnsi="Garamond" w:cs="Arial"/>
        </w:rPr>
        <w:t>financiera</w:t>
      </w:r>
      <w:r w:rsidRPr="00C04C4B">
        <w:rPr>
          <w:rFonts w:ascii="Garamond" w:eastAsia="Arial" w:hAnsi="Garamond" w:cs="Arial"/>
        </w:rPr>
        <w:t xml:space="preserve"> </w:t>
      </w:r>
      <w:r w:rsidRPr="00C04C4B">
        <w:rPr>
          <w:rFonts w:ascii="Garamond" w:hAnsi="Garamond" w:cs="Arial"/>
        </w:rPr>
        <w:t>de</w:t>
      </w:r>
      <w:r w:rsidRPr="00C04C4B">
        <w:rPr>
          <w:rFonts w:ascii="Garamond" w:eastAsia="Arial" w:hAnsi="Garamond" w:cs="Arial"/>
        </w:rPr>
        <w:t xml:space="preserve"> </w:t>
      </w:r>
      <w:r w:rsidRPr="00C04C4B">
        <w:rPr>
          <w:rFonts w:ascii="Garamond" w:hAnsi="Garamond" w:cs="Arial"/>
        </w:rPr>
        <w:t>conformidad</w:t>
      </w:r>
      <w:r w:rsidRPr="00C04C4B">
        <w:rPr>
          <w:rFonts w:ascii="Garamond" w:eastAsia="Arial" w:hAnsi="Garamond" w:cs="Arial"/>
        </w:rPr>
        <w:t xml:space="preserve"> </w:t>
      </w:r>
      <w:r w:rsidRPr="00C04C4B">
        <w:rPr>
          <w:rFonts w:ascii="Garamond" w:hAnsi="Garamond" w:cs="Arial"/>
        </w:rPr>
        <w:t>con</w:t>
      </w:r>
      <w:r w:rsidRPr="00C04C4B">
        <w:rPr>
          <w:rFonts w:ascii="Garamond" w:eastAsia="Arial" w:hAnsi="Garamond" w:cs="Arial"/>
        </w:rPr>
        <w:t xml:space="preserve"> </w:t>
      </w:r>
      <w:r w:rsidRPr="00C04C4B">
        <w:rPr>
          <w:rFonts w:ascii="Garamond" w:hAnsi="Garamond" w:cs="Arial"/>
        </w:rPr>
        <w:t>la</w:t>
      </w:r>
      <w:r w:rsidRPr="00C04C4B">
        <w:rPr>
          <w:rFonts w:ascii="Garamond" w:eastAsia="Arial" w:hAnsi="Garamond" w:cs="Arial"/>
        </w:rPr>
        <w:t xml:space="preserve"> </w:t>
      </w:r>
      <w:r w:rsidRPr="00C04C4B">
        <w:rPr>
          <w:rFonts w:ascii="Garamond" w:hAnsi="Garamond" w:cs="Arial"/>
        </w:rPr>
        <w:t>legislación</w:t>
      </w:r>
      <w:r w:rsidRPr="00C04C4B">
        <w:rPr>
          <w:rFonts w:ascii="Garamond" w:eastAsia="Arial" w:hAnsi="Garamond" w:cs="Arial"/>
        </w:rPr>
        <w:t xml:space="preserve"> </w:t>
      </w:r>
      <w:r w:rsidRPr="00C04C4B">
        <w:rPr>
          <w:rFonts w:ascii="Garamond" w:hAnsi="Garamond" w:cs="Arial"/>
        </w:rPr>
        <w:t>propia</w:t>
      </w:r>
      <w:r w:rsidRPr="00C04C4B">
        <w:rPr>
          <w:rFonts w:ascii="Garamond" w:eastAsia="Arial" w:hAnsi="Garamond" w:cs="Arial"/>
        </w:rPr>
        <w:t xml:space="preserve"> </w:t>
      </w:r>
      <w:r w:rsidRPr="00C04C4B">
        <w:rPr>
          <w:rFonts w:ascii="Garamond" w:hAnsi="Garamond" w:cs="Arial"/>
        </w:rPr>
        <w:t>del</w:t>
      </w:r>
      <w:r w:rsidRPr="00C04C4B">
        <w:rPr>
          <w:rFonts w:ascii="Garamond" w:eastAsia="Arial" w:hAnsi="Garamond" w:cs="Arial"/>
        </w:rPr>
        <w:t xml:space="preserve"> </w:t>
      </w:r>
      <w:r w:rsidRPr="00C04C4B">
        <w:rPr>
          <w:rFonts w:ascii="Garamond" w:hAnsi="Garamond" w:cs="Arial"/>
        </w:rPr>
        <w:t>país</w:t>
      </w:r>
      <w:r w:rsidRPr="00C04C4B">
        <w:rPr>
          <w:rFonts w:ascii="Garamond" w:eastAsia="Arial" w:hAnsi="Garamond" w:cs="Arial"/>
        </w:rPr>
        <w:t xml:space="preserve"> </w:t>
      </w:r>
      <w:r w:rsidRPr="00C04C4B">
        <w:rPr>
          <w:rFonts w:ascii="Garamond" w:hAnsi="Garamond" w:cs="Arial"/>
        </w:rPr>
        <w:t>de</w:t>
      </w:r>
      <w:r w:rsidRPr="00C04C4B">
        <w:rPr>
          <w:rFonts w:ascii="Garamond" w:eastAsia="Arial" w:hAnsi="Garamond" w:cs="Arial"/>
        </w:rPr>
        <w:t xml:space="preserve"> </w:t>
      </w:r>
      <w:r w:rsidRPr="00C04C4B">
        <w:rPr>
          <w:rFonts w:ascii="Garamond" w:hAnsi="Garamond" w:cs="Arial"/>
        </w:rPr>
        <w:t>origen.</w:t>
      </w:r>
      <w:r w:rsidRPr="00C04C4B">
        <w:rPr>
          <w:rFonts w:ascii="Garamond" w:eastAsia="Arial" w:hAnsi="Garamond" w:cs="Arial"/>
        </w:rPr>
        <w:t xml:space="preserve"> </w:t>
      </w:r>
      <w:r w:rsidRPr="00C04C4B">
        <w:rPr>
          <w:rFonts w:ascii="Garamond" w:hAnsi="Garamond" w:cs="Arial"/>
        </w:rPr>
        <w:t>Los</w:t>
      </w:r>
      <w:r w:rsidRPr="00C04C4B">
        <w:rPr>
          <w:rFonts w:ascii="Garamond" w:eastAsia="Arial" w:hAnsi="Garamond" w:cs="Arial"/>
        </w:rPr>
        <w:t xml:space="preserve"> </w:t>
      </w:r>
      <w:r w:rsidRPr="00C04C4B">
        <w:rPr>
          <w:rFonts w:ascii="Garamond" w:hAnsi="Garamond" w:cs="Arial"/>
        </w:rPr>
        <w:t>valores</w:t>
      </w:r>
      <w:r w:rsidRPr="00C04C4B">
        <w:rPr>
          <w:rFonts w:ascii="Garamond" w:eastAsia="Arial" w:hAnsi="Garamond" w:cs="Arial"/>
        </w:rPr>
        <w:t xml:space="preserve"> </w:t>
      </w:r>
      <w:r w:rsidRPr="00C04C4B">
        <w:rPr>
          <w:rFonts w:ascii="Garamond" w:hAnsi="Garamond" w:cs="Arial"/>
        </w:rPr>
        <w:t>deben:</w:t>
      </w:r>
      <w:r w:rsidRPr="00C04C4B">
        <w:rPr>
          <w:rFonts w:ascii="Garamond" w:eastAsia="Arial" w:hAnsi="Garamond" w:cs="Arial"/>
        </w:rPr>
        <w:t xml:space="preserve"> </w:t>
      </w:r>
      <w:r w:rsidRPr="00C04C4B">
        <w:rPr>
          <w:rFonts w:ascii="Garamond" w:hAnsi="Garamond" w:cs="Arial"/>
        </w:rPr>
        <w:t>(i)</w:t>
      </w:r>
      <w:r w:rsidRPr="00C04C4B">
        <w:rPr>
          <w:rFonts w:ascii="Garamond" w:eastAsia="Arial" w:hAnsi="Garamond" w:cs="Arial"/>
        </w:rPr>
        <w:t xml:space="preserve"> </w:t>
      </w:r>
      <w:r w:rsidRPr="00C04C4B">
        <w:rPr>
          <w:rFonts w:ascii="Garamond" w:hAnsi="Garamond" w:cs="Arial"/>
        </w:rPr>
        <w:t>presentarse</w:t>
      </w:r>
      <w:r w:rsidRPr="00C04C4B">
        <w:rPr>
          <w:rFonts w:ascii="Garamond" w:eastAsia="Arial" w:hAnsi="Garamond" w:cs="Arial"/>
        </w:rPr>
        <w:t xml:space="preserve"> </w:t>
      </w:r>
      <w:r w:rsidRPr="00C04C4B">
        <w:rPr>
          <w:rFonts w:ascii="Garamond" w:hAnsi="Garamond" w:cs="Arial"/>
        </w:rPr>
        <w:t>en</w:t>
      </w:r>
      <w:r w:rsidRPr="00C04C4B">
        <w:rPr>
          <w:rFonts w:ascii="Garamond" w:eastAsia="Arial" w:hAnsi="Garamond" w:cs="Arial"/>
        </w:rPr>
        <w:t xml:space="preserve"> </w:t>
      </w:r>
      <w:r w:rsidRPr="00C04C4B">
        <w:rPr>
          <w:rFonts w:ascii="Garamond" w:hAnsi="Garamond" w:cs="Arial"/>
        </w:rPr>
        <w:t>Pesos</w:t>
      </w:r>
      <w:r w:rsidRPr="00C04C4B">
        <w:rPr>
          <w:rFonts w:ascii="Garamond" w:eastAsia="Arial" w:hAnsi="Garamond" w:cs="Arial"/>
        </w:rPr>
        <w:t xml:space="preserve"> </w:t>
      </w:r>
      <w:r w:rsidRPr="00C04C4B">
        <w:rPr>
          <w:rFonts w:ascii="Garamond" w:hAnsi="Garamond" w:cs="Arial"/>
        </w:rPr>
        <w:t>Colombianos;</w:t>
      </w:r>
      <w:r w:rsidRPr="00C04C4B">
        <w:rPr>
          <w:rFonts w:ascii="Garamond" w:eastAsia="Arial" w:hAnsi="Garamond" w:cs="Arial"/>
        </w:rPr>
        <w:t xml:space="preserve"> </w:t>
      </w:r>
      <w:r w:rsidRPr="00C04C4B">
        <w:rPr>
          <w:rFonts w:ascii="Garamond" w:hAnsi="Garamond" w:cs="Arial"/>
        </w:rPr>
        <w:t>(</w:t>
      </w:r>
      <w:proofErr w:type="spellStart"/>
      <w:r w:rsidRPr="00C04C4B">
        <w:rPr>
          <w:rFonts w:ascii="Garamond" w:hAnsi="Garamond" w:cs="Arial"/>
        </w:rPr>
        <w:t>ii</w:t>
      </w:r>
      <w:proofErr w:type="spellEnd"/>
      <w:r w:rsidRPr="00C04C4B">
        <w:rPr>
          <w:rFonts w:ascii="Garamond" w:hAnsi="Garamond" w:cs="Arial"/>
        </w:rPr>
        <w:t>)</w:t>
      </w:r>
      <w:r w:rsidRPr="00C04C4B">
        <w:rPr>
          <w:rFonts w:ascii="Garamond" w:eastAsia="Arial" w:hAnsi="Garamond" w:cs="Arial"/>
        </w:rPr>
        <w:t xml:space="preserve"> </w:t>
      </w:r>
      <w:r w:rsidRPr="00C04C4B">
        <w:rPr>
          <w:rFonts w:ascii="Garamond" w:hAnsi="Garamond" w:cs="Arial"/>
        </w:rPr>
        <w:t>convertirse</w:t>
      </w:r>
      <w:r w:rsidRPr="00C04C4B">
        <w:rPr>
          <w:rFonts w:ascii="Garamond" w:eastAsia="Arial" w:hAnsi="Garamond" w:cs="Arial"/>
        </w:rPr>
        <w:t xml:space="preserve"> </w:t>
      </w:r>
      <w:r w:rsidRPr="00C04C4B">
        <w:rPr>
          <w:rFonts w:ascii="Garamond" w:hAnsi="Garamond" w:cs="Arial"/>
        </w:rPr>
        <w:t>a</w:t>
      </w:r>
      <w:r w:rsidRPr="00C04C4B">
        <w:rPr>
          <w:rFonts w:ascii="Garamond" w:eastAsia="Arial" w:hAnsi="Garamond" w:cs="Arial"/>
        </w:rPr>
        <w:t xml:space="preserve"> </w:t>
      </w:r>
      <w:r w:rsidRPr="00C04C4B">
        <w:rPr>
          <w:rFonts w:ascii="Garamond" w:hAnsi="Garamond" w:cs="Arial"/>
        </w:rPr>
        <w:t>la</w:t>
      </w:r>
      <w:r w:rsidRPr="00C04C4B">
        <w:rPr>
          <w:rFonts w:ascii="Garamond" w:eastAsia="Arial" w:hAnsi="Garamond" w:cs="Arial"/>
        </w:rPr>
        <w:t xml:space="preserve"> </w:t>
      </w:r>
      <w:r w:rsidRPr="00C04C4B">
        <w:rPr>
          <w:rFonts w:ascii="Garamond" w:hAnsi="Garamond" w:cs="Arial"/>
        </w:rPr>
        <w:t>tasa</w:t>
      </w:r>
      <w:r w:rsidRPr="00C04C4B">
        <w:rPr>
          <w:rFonts w:ascii="Garamond" w:eastAsia="Arial" w:hAnsi="Garamond" w:cs="Arial"/>
        </w:rPr>
        <w:t xml:space="preserve"> </w:t>
      </w:r>
      <w:r w:rsidRPr="00C04C4B">
        <w:rPr>
          <w:rFonts w:ascii="Garamond" w:hAnsi="Garamond" w:cs="Arial"/>
        </w:rPr>
        <w:t>de</w:t>
      </w:r>
      <w:r w:rsidRPr="00C04C4B">
        <w:rPr>
          <w:rFonts w:ascii="Garamond" w:eastAsia="Arial" w:hAnsi="Garamond" w:cs="Arial"/>
        </w:rPr>
        <w:t xml:space="preserve"> </w:t>
      </w:r>
      <w:r w:rsidRPr="00C04C4B">
        <w:rPr>
          <w:rFonts w:ascii="Garamond" w:hAnsi="Garamond" w:cs="Arial"/>
        </w:rPr>
        <w:t>cambio</w:t>
      </w:r>
      <w:r w:rsidRPr="00C04C4B">
        <w:rPr>
          <w:rFonts w:ascii="Garamond" w:eastAsia="Arial" w:hAnsi="Garamond" w:cs="Arial"/>
        </w:rPr>
        <w:t xml:space="preserve"> </w:t>
      </w:r>
      <w:r w:rsidRPr="00C04C4B">
        <w:rPr>
          <w:rFonts w:ascii="Garamond" w:hAnsi="Garamond" w:cs="Arial"/>
        </w:rPr>
        <w:t>de</w:t>
      </w:r>
      <w:r w:rsidRPr="00C04C4B">
        <w:rPr>
          <w:rFonts w:ascii="Garamond" w:eastAsia="Arial" w:hAnsi="Garamond" w:cs="Arial"/>
        </w:rPr>
        <w:t xml:space="preserve"> </w:t>
      </w:r>
      <w:r w:rsidRPr="00C04C4B">
        <w:rPr>
          <w:rFonts w:ascii="Garamond" w:hAnsi="Garamond" w:cs="Arial"/>
        </w:rPr>
        <w:t>la</w:t>
      </w:r>
      <w:r w:rsidRPr="00C04C4B">
        <w:rPr>
          <w:rFonts w:ascii="Garamond" w:eastAsia="Arial" w:hAnsi="Garamond" w:cs="Arial"/>
        </w:rPr>
        <w:t xml:space="preserve"> </w:t>
      </w:r>
      <w:r w:rsidRPr="00C04C4B">
        <w:rPr>
          <w:rFonts w:ascii="Garamond" w:hAnsi="Garamond" w:cs="Arial"/>
        </w:rPr>
        <w:t>fecha</w:t>
      </w:r>
      <w:r w:rsidRPr="00C04C4B">
        <w:rPr>
          <w:rFonts w:ascii="Garamond" w:eastAsia="Arial" w:hAnsi="Garamond" w:cs="Arial"/>
        </w:rPr>
        <w:t xml:space="preserve"> </w:t>
      </w:r>
      <w:r w:rsidRPr="00C04C4B">
        <w:rPr>
          <w:rFonts w:ascii="Garamond" w:hAnsi="Garamond" w:cs="Arial"/>
        </w:rPr>
        <w:t>de</w:t>
      </w:r>
      <w:r w:rsidRPr="00C04C4B">
        <w:rPr>
          <w:rFonts w:ascii="Garamond" w:eastAsia="Arial" w:hAnsi="Garamond" w:cs="Arial"/>
        </w:rPr>
        <w:t xml:space="preserve"> </w:t>
      </w:r>
      <w:r w:rsidRPr="00C04C4B">
        <w:rPr>
          <w:rFonts w:ascii="Garamond" w:hAnsi="Garamond" w:cs="Arial"/>
        </w:rPr>
        <w:t>corte</w:t>
      </w:r>
      <w:r w:rsidRPr="00C04C4B">
        <w:rPr>
          <w:rFonts w:ascii="Garamond" w:eastAsia="Arial" w:hAnsi="Garamond" w:cs="Arial"/>
        </w:rPr>
        <w:t xml:space="preserve"> </w:t>
      </w:r>
      <w:r w:rsidRPr="00C04C4B">
        <w:rPr>
          <w:rFonts w:ascii="Garamond" w:hAnsi="Garamond" w:cs="Arial"/>
        </w:rPr>
        <w:t>de</w:t>
      </w:r>
      <w:r w:rsidRPr="00C04C4B">
        <w:rPr>
          <w:rFonts w:ascii="Garamond" w:eastAsia="Arial" w:hAnsi="Garamond" w:cs="Arial"/>
        </w:rPr>
        <w:t xml:space="preserve"> </w:t>
      </w:r>
      <w:r w:rsidRPr="00C04C4B">
        <w:rPr>
          <w:rFonts w:ascii="Garamond" w:hAnsi="Garamond" w:cs="Arial"/>
        </w:rPr>
        <w:t>los</w:t>
      </w:r>
      <w:r w:rsidRPr="00C04C4B">
        <w:rPr>
          <w:rFonts w:ascii="Garamond" w:eastAsia="Arial" w:hAnsi="Garamond" w:cs="Arial"/>
        </w:rPr>
        <w:t xml:space="preserve"> </w:t>
      </w:r>
      <w:r w:rsidRPr="00C04C4B">
        <w:rPr>
          <w:rFonts w:ascii="Garamond" w:hAnsi="Garamond" w:cs="Arial"/>
        </w:rPr>
        <w:t>mismos y</w:t>
      </w:r>
      <w:r w:rsidRPr="00C04C4B">
        <w:rPr>
          <w:rFonts w:ascii="Garamond" w:eastAsia="Arial" w:hAnsi="Garamond" w:cs="Arial"/>
        </w:rPr>
        <w:t xml:space="preserve"> </w:t>
      </w:r>
      <w:r w:rsidRPr="00C04C4B">
        <w:rPr>
          <w:rFonts w:ascii="Garamond" w:hAnsi="Garamond" w:cs="Arial"/>
        </w:rPr>
        <w:t>(</w:t>
      </w:r>
      <w:proofErr w:type="spellStart"/>
      <w:r w:rsidRPr="00C04C4B">
        <w:rPr>
          <w:rFonts w:ascii="Garamond" w:hAnsi="Garamond" w:cs="Arial"/>
        </w:rPr>
        <w:t>iii</w:t>
      </w:r>
      <w:proofErr w:type="spellEnd"/>
      <w:r w:rsidRPr="00C04C4B">
        <w:rPr>
          <w:rFonts w:ascii="Garamond" w:hAnsi="Garamond" w:cs="Arial"/>
        </w:rPr>
        <w:t>)</w:t>
      </w:r>
      <w:r w:rsidRPr="00C04C4B">
        <w:rPr>
          <w:rFonts w:ascii="Garamond" w:eastAsia="Arial" w:hAnsi="Garamond" w:cs="Arial"/>
        </w:rPr>
        <w:t xml:space="preserve"> </w:t>
      </w:r>
      <w:r w:rsidRPr="00C04C4B">
        <w:rPr>
          <w:rFonts w:ascii="Garamond" w:hAnsi="Garamond" w:cs="Arial"/>
        </w:rPr>
        <w:t>estar</w:t>
      </w:r>
      <w:r w:rsidRPr="00C04C4B">
        <w:rPr>
          <w:rFonts w:ascii="Garamond" w:eastAsia="Arial" w:hAnsi="Garamond" w:cs="Arial"/>
        </w:rPr>
        <w:t xml:space="preserve"> </w:t>
      </w:r>
      <w:r w:rsidRPr="00C04C4B">
        <w:rPr>
          <w:rFonts w:ascii="Garamond" w:hAnsi="Garamond" w:cs="Arial"/>
        </w:rPr>
        <w:t>avalados</w:t>
      </w:r>
      <w:r w:rsidRPr="00C04C4B">
        <w:rPr>
          <w:rFonts w:ascii="Garamond" w:eastAsia="Arial" w:hAnsi="Garamond" w:cs="Arial"/>
        </w:rPr>
        <w:t xml:space="preserve"> </w:t>
      </w:r>
      <w:r w:rsidRPr="00C04C4B">
        <w:rPr>
          <w:rFonts w:ascii="Garamond" w:hAnsi="Garamond" w:cs="Arial"/>
        </w:rPr>
        <w:t>con</w:t>
      </w:r>
      <w:r w:rsidRPr="00C04C4B">
        <w:rPr>
          <w:rFonts w:ascii="Garamond" w:eastAsia="Arial" w:hAnsi="Garamond" w:cs="Arial"/>
        </w:rPr>
        <w:t xml:space="preserve"> </w:t>
      </w:r>
      <w:r w:rsidRPr="00C04C4B">
        <w:rPr>
          <w:rFonts w:ascii="Garamond" w:hAnsi="Garamond" w:cs="Arial"/>
        </w:rPr>
        <w:t>la</w:t>
      </w:r>
      <w:r w:rsidRPr="00C04C4B">
        <w:rPr>
          <w:rFonts w:ascii="Garamond" w:eastAsia="Arial" w:hAnsi="Garamond" w:cs="Arial"/>
        </w:rPr>
        <w:t xml:space="preserve"> </w:t>
      </w:r>
      <w:r w:rsidRPr="00C04C4B">
        <w:rPr>
          <w:rFonts w:ascii="Garamond" w:hAnsi="Garamond" w:cs="Arial"/>
        </w:rPr>
        <w:t>firma</w:t>
      </w:r>
      <w:r w:rsidRPr="00C04C4B">
        <w:rPr>
          <w:rFonts w:ascii="Garamond" w:eastAsia="Arial" w:hAnsi="Garamond" w:cs="Arial"/>
        </w:rPr>
        <w:t xml:space="preserve"> </w:t>
      </w:r>
      <w:r w:rsidRPr="00C04C4B">
        <w:rPr>
          <w:rFonts w:ascii="Garamond" w:hAnsi="Garamond" w:cs="Arial"/>
        </w:rPr>
        <w:t>de</w:t>
      </w:r>
      <w:r w:rsidRPr="00C04C4B">
        <w:rPr>
          <w:rFonts w:ascii="Garamond" w:eastAsia="Arial" w:hAnsi="Garamond" w:cs="Arial"/>
        </w:rPr>
        <w:t xml:space="preserve"> </w:t>
      </w:r>
      <w:r w:rsidRPr="00C04C4B">
        <w:rPr>
          <w:rFonts w:ascii="Garamond" w:hAnsi="Garamond" w:cs="Arial"/>
        </w:rPr>
        <w:t>quien</w:t>
      </w:r>
      <w:r w:rsidRPr="00C04C4B">
        <w:rPr>
          <w:rFonts w:ascii="Garamond" w:eastAsia="Arial" w:hAnsi="Garamond" w:cs="Arial"/>
        </w:rPr>
        <w:t xml:space="preserve"> </w:t>
      </w:r>
      <w:r w:rsidRPr="00C04C4B">
        <w:rPr>
          <w:rFonts w:ascii="Garamond" w:hAnsi="Garamond" w:cs="Arial"/>
        </w:rPr>
        <w:t>se</w:t>
      </w:r>
      <w:r w:rsidRPr="00C04C4B">
        <w:rPr>
          <w:rFonts w:ascii="Garamond" w:eastAsia="Arial" w:hAnsi="Garamond" w:cs="Arial"/>
        </w:rPr>
        <w:t xml:space="preserve"> </w:t>
      </w:r>
      <w:r w:rsidRPr="00C04C4B">
        <w:rPr>
          <w:rFonts w:ascii="Garamond" w:hAnsi="Garamond" w:cs="Arial"/>
        </w:rPr>
        <w:t>encuentre</w:t>
      </w:r>
      <w:r w:rsidRPr="00C04C4B">
        <w:rPr>
          <w:rFonts w:ascii="Garamond" w:eastAsia="Arial" w:hAnsi="Garamond" w:cs="Arial"/>
        </w:rPr>
        <w:t xml:space="preserve"> </w:t>
      </w:r>
      <w:r w:rsidRPr="00C04C4B">
        <w:rPr>
          <w:rFonts w:ascii="Garamond" w:hAnsi="Garamond" w:cs="Arial"/>
        </w:rPr>
        <w:t>en</w:t>
      </w:r>
      <w:r w:rsidRPr="00C04C4B">
        <w:rPr>
          <w:rFonts w:ascii="Garamond" w:eastAsia="Arial" w:hAnsi="Garamond" w:cs="Arial"/>
        </w:rPr>
        <w:t xml:space="preserve"> </w:t>
      </w:r>
      <w:r w:rsidRPr="00C04C4B">
        <w:rPr>
          <w:rFonts w:ascii="Garamond" w:hAnsi="Garamond" w:cs="Arial"/>
        </w:rPr>
        <w:t>obligación</w:t>
      </w:r>
      <w:r w:rsidRPr="00C04C4B">
        <w:rPr>
          <w:rFonts w:ascii="Garamond" w:eastAsia="Arial" w:hAnsi="Garamond" w:cs="Arial"/>
        </w:rPr>
        <w:t xml:space="preserve"> </w:t>
      </w:r>
      <w:r w:rsidRPr="00C04C4B">
        <w:rPr>
          <w:rFonts w:ascii="Garamond" w:hAnsi="Garamond" w:cs="Arial"/>
        </w:rPr>
        <w:t>de</w:t>
      </w:r>
      <w:r w:rsidRPr="00C04C4B">
        <w:rPr>
          <w:rFonts w:ascii="Garamond" w:eastAsia="Arial" w:hAnsi="Garamond" w:cs="Arial"/>
        </w:rPr>
        <w:t xml:space="preserve"> </w:t>
      </w:r>
      <w:r w:rsidRPr="00C04C4B">
        <w:rPr>
          <w:rFonts w:ascii="Garamond" w:hAnsi="Garamond" w:cs="Arial"/>
        </w:rPr>
        <w:t>hacerlo</w:t>
      </w:r>
      <w:r w:rsidRPr="00C04C4B">
        <w:rPr>
          <w:rFonts w:ascii="Garamond" w:eastAsia="Arial" w:hAnsi="Garamond" w:cs="Arial"/>
        </w:rPr>
        <w:t xml:space="preserve"> </w:t>
      </w:r>
      <w:r w:rsidRPr="00C04C4B">
        <w:rPr>
          <w:rFonts w:ascii="Garamond" w:hAnsi="Garamond" w:cs="Arial"/>
        </w:rPr>
        <w:t>de</w:t>
      </w:r>
      <w:r w:rsidRPr="00C04C4B">
        <w:rPr>
          <w:rFonts w:ascii="Garamond" w:eastAsia="Arial" w:hAnsi="Garamond" w:cs="Arial"/>
        </w:rPr>
        <w:t xml:space="preserve"> </w:t>
      </w:r>
      <w:r w:rsidRPr="00C04C4B">
        <w:rPr>
          <w:rFonts w:ascii="Garamond" w:hAnsi="Garamond" w:cs="Arial"/>
        </w:rPr>
        <w:t>acuerdo</w:t>
      </w:r>
      <w:r w:rsidRPr="00C04C4B">
        <w:rPr>
          <w:rFonts w:ascii="Garamond" w:eastAsia="Arial" w:hAnsi="Garamond" w:cs="Arial"/>
        </w:rPr>
        <w:t xml:space="preserve"> </w:t>
      </w:r>
      <w:r w:rsidRPr="00C04C4B">
        <w:rPr>
          <w:rFonts w:ascii="Garamond" w:hAnsi="Garamond" w:cs="Arial"/>
        </w:rPr>
        <w:t>con</w:t>
      </w:r>
      <w:r w:rsidRPr="00C04C4B">
        <w:rPr>
          <w:rFonts w:ascii="Garamond" w:eastAsia="Arial" w:hAnsi="Garamond" w:cs="Arial"/>
        </w:rPr>
        <w:t xml:space="preserve"> </w:t>
      </w:r>
      <w:r w:rsidRPr="00C04C4B">
        <w:rPr>
          <w:rFonts w:ascii="Garamond" w:hAnsi="Garamond" w:cs="Arial"/>
        </w:rPr>
        <w:t>la</w:t>
      </w:r>
      <w:r w:rsidRPr="00C04C4B">
        <w:rPr>
          <w:rFonts w:ascii="Garamond" w:eastAsia="Arial" w:hAnsi="Garamond" w:cs="Arial"/>
        </w:rPr>
        <w:t xml:space="preserve"> </w:t>
      </w:r>
      <w:r w:rsidRPr="00C04C4B">
        <w:rPr>
          <w:rFonts w:ascii="Garamond" w:hAnsi="Garamond" w:cs="Arial"/>
        </w:rPr>
        <w:t>normativa</w:t>
      </w:r>
      <w:r w:rsidRPr="00C04C4B">
        <w:rPr>
          <w:rFonts w:ascii="Garamond" w:eastAsia="Arial" w:hAnsi="Garamond" w:cs="Arial"/>
        </w:rPr>
        <w:t xml:space="preserve"> </w:t>
      </w:r>
      <w:r w:rsidRPr="00C04C4B">
        <w:rPr>
          <w:rFonts w:ascii="Garamond" w:hAnsi="Garamond" w:cs="Arial"/>
        </w:rPr>
        <w:t>del</w:t>
      </w:r>
      <w:r w:rsidRPr="00C04C4B">
        <w:rPr>
          <w:rFonts w:ascii="Garamond" w:eastAsia="Arial" w:hAnsi="Garamond" w:cs="Arial"/>
        </w:rPr>
        <w:t xml:space="preserve"> </w:t>
      </w:r>
      <w:r w:rsidRPr="00C04C4B">
        <w:rPr>
          <w:rFonts w:ascii="Garamond" w:hAnsi="Garamond" w:cs="Arial"/>
        </w:rPr>
        <w:t>país</w:t>
      </w:r>
      <w:r w:rsidRPr="00C04C4B">
        <w:rPr>
          <w:rFonts w:ascii="Garamond" w:eastAsia="Arial" w:hAnsi="Garamond" w:cs="Arial"/>
        </w:rPr>
        <w:t xml:space="preserve"> </w:t>
      </w:r>
      <w:r w:rsidRPr="00C04C4B">
        <w:rPr>
          <w:rFonts w:ascii="Garamond" w:hAnsi="Garamond" w:cs="Arial"/>
        </w:rPr>
        <w:t>de</w:t>
      </w:r>
      <w:r w:rsidRPr="00C04C4B">
        <w:rPr>
          <w:rFonts w:ascii="Garamond" w:eastAsia="Arial" w:hAnsi="Garamond" w:cs="Arial"/>
        </w:rPr>
        <w:t xml:space="preserve"> </w:t>
      </w:r>
      <w:r w:rsidRPr="00C04C4B">
        <w:rPr>
          <w:rFonts w:ascii="Garamond" w:hAnsi="Garamond" w:cs="Arial"/>
        </w:rPr>
        <w:t>origen.</w:t>
      </w:r>
      <w:r w:rsidRPr="00C04C4B">
        <w:rPr>
          <w:rFonts w:ascii="Garamond" w:eastAsia="Arial" w:hAnsi="Garamond" w:cs="Arial"/>
        </w:rPr>
        <w:t xml:space="preserve"> </w:t>
      </w:r>
    </w:p>
    <w:p w14:paraId="582B3766" w14:textId="77777777" w:rsidR="00C04C4B" w:rsidRPr="00C04C4B" w:rsidRDefault="00C04C4B" w:rsidP="00C04C4B">
      <w:pPr>
        <w:rPr>
          <w:rFonts w:ascii="Garamond" w:eastAsia="Arial" w:hAnsi="Garamond" w:cs="Arial"/>
        </w:rPr>
      </w:pPr>
    </w:p>
    <w:p w14:paraId="0CF9344D" w14:textId="77777777" w:rsidR="00C04C4B" w:rsidRPr="00C04C4B" w:rsidRDefault="00C04C4B" w:rsidP="00A23238">
      <w:pPr>
        <w:pStyle w:val="Prrafodelista"/>
        <w:numPr>
          <w:ilvl w:val="0"/>
          <w:numId w:val="55"/>
        </w:numPr>
        <w:spacing w:after="200"/>
        <w:contextualSpacing/>
        <w:rPr>
          <w:rFonts w:ascii="Garamond" w:hAnsi="Garamond" w:cs="Arial"/>
        </w:rPr>
      </w:pPr>
      <w:r w:rsidRPr="00C04C4B">
        <w:rPr>
          <w:rFonts w:ascii="Garamond" w:hAnsi="Garamond" w:cs="Arial"/>
        </w:rPr>
        <w:t xml:space="preserve">El estado de situación financiera (balance general) y estado de resultado integral (estado de resultados), acompañados por el informe de auditoría (sí aplica de acuerdo con la legislación de origen) con traducción simple al castellano de acuerdo con las normas NIIF.  </w:t>
      </w:r>
    </w:p>
    <w:p w14:paraId="4F582532" w14:textId="77777777" w:rsidR="00C04C4B" w:rsidRPr="00C04C4B" w:rsidRDefault="00C04C4B" w:rsidP="00C04C4B">
      <w:pPr>
        <w:pStyle w:val="Prrafodelista"/>
        <w:rPr>
          <w:rFonts w:ascii="Garamond" w:hAnsi="Garamond" w:cs="Arial"/>
          <w:bCs/>
        </w:rPr>
      </w:pPr>
    </w:p>
    <w:p w14:paraId="0397C3FD" w14:textId="77777777" w:rsidR="00C04C4B" w:rsidRPr="00C04C4B" w:rsidRDefault="00C04C4B" w:rsidP="00A23238">
      <w:pPr>
        <w:pStyle w:val="Prrafodelista"/>
        <w:widowControl/>
        <w:numPr>
          <w:ilvl w:val="0"/>
          <w:numId w:val="55"/>
        </w:numPr>
        <w:spacing w:after="200"/>
        <w:contextualSpacing/>
        <w:rPr>
          <w:rFonts w:ascii="Garamond" w:eastAsia="Arial" w:hAnsi="Garamond" w:cs="Arial"/>
        </w:rPr>
      </w:pPr>
      <w:r w:rsidRPr="00C04C4B">
        <w:rPr>
          <w:rFonts w:ascii="Garamond" w:eastAsia="Arial" w:hAnsi="Garamond" w:cs="Arial"/>
        </w:rPr>
        <w:t xml:space="preserve">Copia de la tarjeta profesional del contador público o del revisor fiscal y certificado de antecedentes disciplinarios vigente expedido por la Junta Central de Contadores de quien realiza la conversión. </w:t>
      </w:r>
    </w:p>
    <w:p w14:paraId="704665B3" w14:textId="77777777" w:rsidR="00C04C4B" w:rsidRPr="00C04C4B" w:rsidRDefault="00C04C4B" w:rsidP="00C04C4B">
      <w:pPr>
        <w:pStyle w:val="Prrafodelista"/>
        <w:rPr>
          <w:rFonts w:ascii="Garamond" w:hAnsi="Garamond" w:cs="Arial"/>
          <w:bCs/>
        </w:rPr>
      </w:pPr>
    </w:p>
    <w:p w14:paraId="57B864FC" w14:textId="77777777" w:rsidR="00C04C4B" w:rsidRPr="00C04C4B" w:rsidRDefault="00C04C4B" w:rsidP="00A23238">
      <w:pPr>
        <w:pStyle w:val="Prrafodelista"/>
        <w:numPr>
          <w:ilvl w:val="0"/>
          <w:numId w:val="55"/>
        </w:numPr>
        <w:contextualSpacing/>
        <w:rPr>
          <w:rFonts w:ascii="Garamond" w:eastAsia="Arial" w:hAnsi="Garamond" w:cs="Arial"/>
        </w:rPr>
      </w:pPr>
      <w:r w:rsidRPr="00C04C4B">
        <w:rPr>
          <w:rFonts w:ascii="Garamond" w:eastAsia="Arial" w:hAnsi="Garamond" w:cs="Arial"/>
        </w:rPr>
        <w:t xml:space="preserve">El “Formato 4 – Capacidad financiera y organizacional </w:t>
      </w:r>
      <w:r w:rsidRPr="00C04C4B">
        <w:rPr>
          <w:rStyle w:val="normaltextrun"/>
          <w:rFonts w:ascii="Garamond" w:hAnsi="Garamond" w:cs="Arial"/>
          <w:color w:val="000000"/>
          <w:shd w:val="clear" w:color="auto" w:fill="FFFFFF"/>
          <w:lang w:val="es-ES"/>
        </w:rPr>
        <w:t>(Personas naturales o jurídicas ex</w:t>
      </w:r>
      <w:r w:rsidRPr="00C04C4B">
        <w:rPr>
          <w:rStyle w:val="normaltextrun"/>
          <w:rFonts w:ascii="Garamond" w:hAnsi="Garamond" w:cs="Arial"/>
          <w:color w:val="D13438"/>
          <w:u w:val="single"/>
          <w:shd w:val="clear" w:color="auto" w:fill="FFFFFF"/>
          <w:lang w:val="es-ES"/>
        </w:rPr>
        <w:t>t</w:t>
      </w:r>
      <w:r w:rsidRPr="00C04C4B">
        <w:rPr>
          <w:rStyle w:val="normaltextrun"/>
          <w:rFonts w:ascii="Garamond" w:hAnsi="Garamond" w:cs="Arial"/>
          <w:color w:val="000000"/>
          <w:shd w:val="clear" w:color="auto" w:fill="FFFFFF"/>
          <w:lang w:val="es-ES"/>
        </w:rPr>
        <w:t>ranjeras sin domicilio o sucursal en Colombia)</w:t>
      </w:r>
      <w:r w:rsidRPr="00C04C4B">
        <w:rPr>
          <w:rFonts w:ascii="Garamond" w:eastAsia="Arial" w:hAnsi="Garamond" w:cs="Arial"/>
        </w:rPr>
        <w:t xml:space="preserve">” diligenciado. En caso de presentarse discrepancias entre la información consignada en el “Formato 4 – Capacidad financiera y organizacional </w:t>
      </w:r>
      <w:r w:rsidRPr="00C04C4B">
        <w:rPr>
          <w:rStyle w:val="normaltextrun"/>
          <w:rFonts w:ascii="Garamond" w:hAnsi="Garamond" w:cs="Arial"/>
          <w:color w:val="000000"/>
          <w:shd w:val="clear" w:color="auto" w:fill="FFFFFF"/>
          <w:lang w:val="es-ES"/>
        </w:rPr>
        <w:t>(Personas naturales o jurídicas ex</w:t>
      </w:r>
      <w:r w:rsidRPr="00C04C4B">
        <w:rPr>
          <w:rStyle w:val="normaltextrun"/>
          <w:rFonts w:ascii="Garamond" w:hAnsi="Garamond" w:cs="Arial"/>
          <w:color w:val="D13438"/>
          <w:u w:val="single"/>
          <w:shd w:val="clear" w:color="auto" w:fill="FFFFFF"/>
          <w:lang w:val="es-ES"/>
        </w:rPr>
        <w:t>t</w:t>
      </w:r>
      <w:r w:rsidRPr="00C04C4B">
        <w:rPr>
          <w:rStyle w:val="normaltextrun"/>
          <w:rFonts w:ascii="Garamond" w:hAnsi="Garamond" w:cs="Arial"/>
          <w:color w:val="000000"/>
          <w:shd w:val="clear" w:color="auto" w:fill="FFFFFF"/>
          <w:lang w:val="es-ES"/>
        </w:rPr>
        <w:t>ranjeras sin domicilio o sucursal en Colombia)</w:t>
      </w:r>
      <w:r w:rsidRPr="00C04C4B">
        <w:rPr>
          <w:rFonts w:ascii="Garamond" w:eastAsia="Arial" w:hAnsi="Garamond" w:cs="Arial"/>
        </w:rPr>
        <w:t>” y los documentos señalados en el Literal A, prevalecerá la información que se encuentre en los Estados Financieros incluidos en la oferta.</w:t>
      </w:r>
    </w:p>
    <w:p w14:paraId="5806F32F" w14:textId="77777777" w:rsidR="00C04C4B" w:rsidRPr="00C04C4B" w:rsidRDefault="00C04C4B" w:rsidP="00C04C4B">
      <w:pPr>
        <w:jc w:val="both"/>
        <w:rPr>
          <w:rFonts w:ascii="Garamond" w:hAnsi="Garamond" w:cs="Arial"/>
        </w:rPr>
      </w:pPr>
    </w:p>
    <w:p w14:paraId="1DAC3189" w14:textId="56DA8E3C" w:rsidR="00C04C4B" w:rsidRPr="00C04C4B" w:rsidRDefault="00C04C4B" w:rsidP="00C04C4B">
      <w:pPr>
        <w:jc w:val="both"/>
        <w:rPr>
          <w:rFonts w:ascii="Garamond" w:eastAsia="Arial" w:hAnsi="Garamond" w:cs="Arial"/>
        </w:rPr>
      </w:pPr>
      <w:r w:rsidRPr="00C04C4B">
        <w:rPr>
          <w:rFonts w:ascii="Garamond" w:hAnsi="Garamond" w:cs="Arial"/>
        </w:rPr>
        <w:t xml:space="preserve">Las fechas de corte de los documentos </w:t>
      </w:r>
      <w:r w:rsidRPr="00A7250B">
        <w:rPr>
          <w:rFonts w:ascii="Garamond" w:hAnsi="Garamond" w:cs="Arial"/>
        </w:rPr>
        <w:t xml:space="preserve">señalados en el literal A será </w:t>
      </w:r>
      <w:r w:rsidR="00A7250B" w:rsidRPr="00A7250B">
        <w:rPr>
          <w:rFonts w:ascii="Garamond" w:hAnsi="Garamond" w:cs="Arial"/>
        </w:rPr>
        <w:t>31 de diciembre de 202</w:t>
      </w:r>
      <w:r w:rsidR="007608EE">
        <w:rPr>
          <w:rFonts w:ascii="Garamond" w:hAnsi="Garamond" w:cs="Arial"/>
        </w:rPr>
        <w:t>5</w:t>
      </w:r>
      <w:r w:rsidRPr="00A7250B">
        <w:rPr>
          <w:rFonts w:ascii="Garamond" w:hAnsi="Garamond" w:cs="Arial"/>
        </w:rPr>
        <w:t xml:space="preserve"> de acuerdo con lo </w:t>
      </w:r>
      <w:r w:rsidRPr="00A7250B">
        <w:rPr>
          <w:rFonts w:ascii="Garamond" w:hAnsi="Garamond" w:cs="Arial"/>
        </w:rPr>
        <w:lastRenderedPageBreak/>
        <w:t>contemplado en las Subsecciones 5 y 6 de la Sección 1, del Capítulo 1, del Título 1, de la Parte 2 del Decreto 1082 de 2015 o las normas que las modifiquen, adicionen o sustituyan.],</w:t>
      </w:r>
      <w:r w:rsidRPr="00C04C4B">
        <w:rPr>
          <w:rFonts w:ascii="Garamond" w:hAnsi="Garamond" w:cs="Arial"/>
        </w:rPr>
        <w:t xml:space="preserve"> acompañado del informe de auditoría, salvo que se acredite en debida forma que la legislación propia del país de origen fija una fecha de corte diferente a la prevista en este pliego.</w:t>
      </w:r>
    </w:p>
    <w:p w14:paraId="71F517FA" w14:textId="77777777" w:rsidR="00C04C4B" w:rsidRPr="00C04C4B" w:rsidRDefault="00C04C4B" w:rsidP="00C04C4B">
      <w:pPr>
        <w:jc w:val="both"/>
        <w:rPr>
          <w:rFonts w:ascii="Garamond" w:eastAsia="Arial" w:hAnsi="Garamond" w:cs="Arial"/>
        </w:rPr>
      </w:pPr>
    </w:p>
    <w:p w14:paraId="62A5CF66" w14:textId="77777777" w:rsidR="00C04C4B" w:rsidRPr="00C04C4B" w:rsidRDefault="00C04C4B" w:rsidP="00C04C4B">
      <w:pPr>
        <w:jc w:val="both"/>
        <w:rPr>
          <w:rFonts w:ascii="Garamond" w:hAnsi="Garamond" w:cs="Arial"/>
        </w:rPr>
      </w:pPr>
      <w:r w:rsidRPr="00C04C4B">
        <w:rPr>
          <w:rFonts w:ascii="Garamond" w:hAnsi="Garamond" w:cs="Arial"/>
        </w:rPr>
        <w:t>Si</w:t>
      </w:r>
      <w:r w:rsidRPr="00C04C4B">
        <w:rPr>
          <w:rFonts w:ascii="Garamond" w:eastAsia="Arial" w:hAnsi="Garamond" w:cs="Arial"/>
        </w:rPr>
        <w:t xml:space="preserve"> </w:t>
      </w:r>
      <w:r w:rsidRPr="00C04C4B">
        <w:rPr>
          <w:rFonts w:ascii="Garamond" w:hAnsi="Garamond" w:cs="Arial"/>
        </w:rPr>
        <w:t>alguno</w:t>
      </w:r>
      <w:r w:rsidRPr="00C04C4B">
        <w:rPr>
          <w:rFonts w:ascii="Garamond" w:eastAsia="Arial" w:hAnsi="Garamond" w:cs="Arial"/>
        </w:rPr>
        <w:t xml:space="preserve"> </w:t>
      </w:r>
      <w:r w:rsidRPr="00C04C4B">
        <w:rPr>
          <w:rFonts w:ascii="Garamond" w:hAnsi="Garamond" w:cs="Arial"/>
        </w:rPr>
        <w:t>de</w:t>
      </w:r>
      <w:r w:rsidRPr="00C04C4B">
        <w:rPr>
          <w:rFonts w:ascii="Garamond" w:eastAsia="Arial" w:hAnsi="Garamond" w:cs="Arial"/>
        </w:rPr>
        <w:t xml:space="preserve"> </w:t>
      </w:r>
      <w:r w:rsidRPr="00C04C4B">
        <w:rPr>
          <w:rFonts w:ascii="Garamond" w:hAnsi="Garamond" w:cs="Arial"/>
        </w:rPr>
        <w:t>estos</w:t>
      </w:r>
      <w:r w:rsidRPr="00C04C4B">
        <w:rPr>
          <w:rFonts w:ascii="Garamond" w:eastAsia="Arial" w:hAnsi="Garamond" w:cs="Arial"/>
        </w:rPr>
        <w:t xml:space="preserve"> </w:t>
      </w:r>
      <w:r w:rsidRPr="00C04C4B">
        <w:rPr>
          <w:rFonts w:ascii="Garamond" w:hAnsi="Garamond" w:cs="Arial"/>
        </w:rPr>
        <w:t>requerimientos</w:t>
      </w:r>
      <w:r w:rsidRPr="00C04C4B">
        <w:rPr>
          <w:rFonts w:ascii="Garamond" w:eastAsia="Arial" w:hAnsi="Garamond" w:cs="Arial"/>
        </w:rPr>
        <w:t xml:space="preserve"> </w:t>
      </w:r>
      <w:r w:rsidRPr="00C04C4B">
        <w:rPr>
          <w:rFonts w:ascii="Garamond" w:hAnsi="Garamond" w:cs="Arial"/>
        </w:rPr>
        <w:t>no</w:t>
      </w:r>
      <w:r w:rsidRPr="00C04C4B">
        <w:rPr>
          <w:rFonts w:ascii="Garamond" w:eastAsia="Arial" w:hAnsi="Garamond" w:cs="Arial"/>
        </w:rPr>
        <w:t xml:space="preserve"> </w:t>
      </w:r>
      <w:r w:rsidRPr="00C04C4B">
        <w:rPr>
          <w:rFonts w:ascii="Garamond" w:hAnsi="Garamond" w:cs="Arial"/>
        </w:rPr>
        <w:t>aplica</w:t>
      </w:r>
      <w:r w:rsidRPr="00C04C4B">
        <w:rPr>
          <w:rFonts w:ascii="Garamond" w:eastAsia="Arial" w:hAnsi="Garamond" w:cs="Arial"/>
        </w:rPr>
        <w:t xml:space="preserve"> </w:t>
      </w:r>
      <w:r w:rsidRPr="00C04C4B">
        <w:rPr>
          <w:rFonts w:ascii="Garamond" w:hAnsi="Garamond" w:cs="Arial"/>
        </w:rPr>
        <w:t>en</w:t>
      </w:r>
      <w:r w:rsidRPr="00C04C4B">
        <w:rPr>
          <w:rFonts w:ascii="Garamond" w:eastAsia="Arial" w:hAnsi="Garamond" w:cs="Arial"/>
        </w:rPr>
        <w:t xml:space="preserve"> </w:t>
      </w:r>
      <w:r w:rsidRPr="00C04C4B">
        <w:rPr>
          <w:rFonts w:ascii="Garamond" w:hAnsi="Garamond" w:cs="Arial"/>
        </w:rPr>
        <w:t>el</w:t>
      </w:r>
      <w:r w:rsidRPr="00C04C4B">
        <w:rPr>
          <w:rFonts w:ascii="Garamond" w:eastAsia="Arial" w:hAnsi="Garamond" w:cs="Arial"/>
        </w:rPr>
        <w:t xml:space="preserve"> </w:t>
      </w:r>
      <w:r w:rsidRPr="00C04C4B">
        <w:rPr>
          <w:rFonts w:ascii="Garamond" w:hAnsi="Garamond" w:cs="Arial"/>
        </w:rPr>
        <w:t>país</w:t>
      </w:r>
      <w:r w:rsidRPr="00C04C4B">
        <w:rPr>
          <w:rFonts w:ascii="Garamond" w:eastAsia="Arial" w:hAnsi="Garamond" w:cs="Arial"/>
        </w:rPr>
        <w:t xml:space="preserve"> </w:t>
      </w:r>
      <w:r w:rsidRPr="00C04C4B">
        <w:rPr>
          <w:rFonts w:ascii="Garamond" w:hAnsi="Garamond" w:cs="Arial"/>
        </w:rPr>
        <w:t>del</w:t>
      </w:r>
      <w:r w:rsidRPr="00C04C4B">
        <w:rPr>
          <w:rFonts w:ascii="Garamond" w:eastAsia="Arial" w:hAnsi="Garamond" w:cs="Arial"/>
        </w:rPr>
        <w:t xml:space="preserve"> </w:t>
      </w:r>
      <w:r w:rsidRPr="00C04C4B">
        <w:rPr>
          <w:rFonts w:ascii="Garamond" w:hAnsi="Garamond" w:cs="Arial"/>
        </w:rPr>
        <w:t>domicilio</w:t>
      </w:r>
      <w:r w:rsidRPr="00C04C4B">
        <w:rPr>
          <w:rFonts w:ascii="Garamond" w:eastAsia="Arial" w:hAnsi="Garamond" w:cs="Arial"/>
        </w:rPr>
        <w:t xml:space="preserve"> </w:t>
      </w:r>
      <w:r w:rsidRPr="00C04C4B">
        <w:rPr>
          <w:rFonts w:ascii="Garamond" w:hAnsi="Garamond" w:cs="Arial"/>
        </w:rPr>
        <w:t>del</w:t>
      </w:r>
      <w:r w:rsidRPr="00C04C4B">
        <w:rPr>
          <w:rFonts w:ascii="Garamond" w:eastAsia="Arial" w:hAnsi="Garamond" w:cs="Arial"/>
        </w:rPr>
        <w:t xml:space="preserve"> </w:t>
      </w:r>
      <w:r w:rsidRPr="00C04C4B">
        <w:rPr>
          <w:rFonts w:ascii="Garamond" w:hAnsi="Garamond" w:cs="Arial"/>
        </w:rPr>
        <w:t>Proponente</w:t>
      </w:r>
      <w:r w:rsidRPr="00C04C4B">
        <w:rPr>
          <w:rFonts w:ascii="Garamond" w:eastAsia="Arial" w:hAnsi="Garamond" w:cs="Arial"/>
        </w:rPr>
        <w:t xml:space="preserve"> </w:t>
      </w:r>
      <w:r w:rsidRPr="00C04C4B">
        <w:rPr>
          <w:rFonts w:ascii="Garamond" w:hAnsi="Garamond" w:cs="Arial"/>
        </w:rPr>
        <w:t>extranjero,</w:t>
      </w:r>
      <w:r w:rsidRPr="00C04C4B">
        <w:rPr>
          <w:rFonts w:ascii="Garamond" w:eastAsia="Arial" w:hAnsi="Garamond" w:cs="Arial"/>
        </w:rPr>
        <w:t xml:space="preserve"> </w:t>
      </w:r>
      <w:r w:rsidRPr="00C04C4B">
        <w:rPr>
          <w:rFonts w:ascii="Garamond" w:hAnsi="Garamond" w:cs="Arial"/>
        </w:rPr>
        <w:t>el</w:t>
      </w:r>
      <w:r w:rsidRPr="00C04C4B">
        <w:rPr>
          <w:rFonts w:ascii="Garamond" w:eastAsia="Arial" w:hAnsi="Garamond" w:cs="Arial"/>
        </w:rPr>
        <w:t xml:space="preserve"> </w:t>
      </w:r>
      <w:r w:rsidRPr="00C04C4B">
        <w:rPr>
          <w:rFonts w:ascii="Garamond" w:hAnsi="Garamond" w:cs="Arial"/>
        </w:rPr>
        <w:t>representante legal o el</w:t>
      </w:r>
      <w:r w:rsidRPr="00C04C4B">
        <w:rPr>
          <w:rFonts w:ascii="Garamond" w:eastAsia="Arial" w:hAnsi="Garamond" w:cs="Arial"/>
        </w:rPr>
        <w:t xml:space="preserve"> </w:t>
      </w:r>
      <w:r w:rsidRPr="00C04C4B">
        <w:rPr>
          <w:rFonts w:ascii="Garamond" w:hAnsi="Garamond" w:cs="Arial"/>
        </w:rPr>
        <w:t>apoderado</w:t>
      </w:r>
      <w:r w:rsidRPr="00C04C4B">
        <w:rPr>
          <w:rFonts w:ascii="Garamond" w:eastAsia="Arial" w:hAnsi="Garamond" w:cs="Arial"/>
        </w:rPr>
        <w:t xml:space="preserve"> </w:t>
      </w:r>
      <w:r w:rsidRPr="00C04C4B">
        <w:rPr>
          <w:rFonts w:ascii="Garamond" w:hAnsi="Garamond" w:cs="Arial"/>
        </w:rPr>
        <w:t>en</w:t>
      </w:r>
      <w:r w:rsidRPr="00C04C4B">
        <w:rPr>
          <w:rFonts w:ascii="Garamond" w:eastAsia="Arial" w:hAnsi="Garamond" w:cs="Arial"/>
        </w:rPr>
        <w:t xml:space="preserve"> </w:t>
      </w:r>
      <w:r w:rsidRPr="00C04C4B">
        <w:rPr>
          <w:rFonts w:ascii="Garamond" w:hAnsi="Garamond" w:cs="Arial"/>
        </w:rPr>
        <w:t>Colombia</w:t>
      </w:r>
      <w:r w:rsidRPr="00C04C4B">
        <w:rPr>
          <w:rFonts w:ascii="Garamond" w:eastAsia="Arial" w:hAnsi="Garamond" w:cs="Arial"/>
        </w:rPr>
        <w:t xml:space="preserve"> </w:t>
      </w:r>
      <w:r w:rsidRPr="00C04C4B">
        <w:rPr>
          <w:rFonts w:ascii="Garamond" w:hAnsi="Garamond" w:cs="Arial"/>
        </w:rPr>
        <w:t>deberán</w:t>
      </w:r>
      <w:r w:rsidRPr="00C04C4B">
        <w:rPr>
          <w:rFonts w:ascii="Garamond" w:eastAsia="Arial" w:hAnsi="Garamond" w:cs="Arial"/>
        </w:rPr>
        <w:t xml:space="preserve"> </w:t>
      </w:r>
      <w:r w:rsidRPr="00C04C4B">
        <w:rPr>
          <w:rFonts w:ascii="Garamond" w:hAnsi="Garamond" w:cs="Arial"/>
        </w:rPr>
        <w:t>hacerlo</w:t>
      </w:r>
      <w:r w:rsidRPr="00C04C4B">
        <w:rPr>
          <w:rFonts w:ascii="Garamond" w:eastAsia="Arial" w:hAnsi="Garamond" w:cs="Arial"/>
        </w:rPr>
        <w:t xml:space="preserve"> </w:t>
      </w:r>
      <w:r w:rsidRPr="00C04C4B">
        <w:rPr>
          <w:rFonts w:ascii="Garamond" w:hAnsi="Garamond" w:cs="Arial"/>
        </w:rPr>
        <w:t>constar</w:t>
      </w:r>
      <w:r w:rsidRPr="00C04C4B">
        <w:rPr>
          <w:rFonts w:ascii="Garamond" w:eastAsia="Arial" w:hAnsi="Garamond" w:cs="Arial"/>
        </w:rPr>
        <w:t xml:space="preserve"> </w:t>
      </w:r>
      <w:r w:rsidRPr="00C04C4B">
        <w:rPr>
          <w:rFonts w:ascii="Garamond" w:hAnsi="Garamond" w:cs="Arial"/>
        </w:rPr>
        <w:t>bajo</w:t>
      </w:r>
      <w:r w:rsidRPr="00C04C4B">
        <w:rPr>
          <w:rFonts w:ascii="Garamond" w:eastAsia="Arial" w:hAnsi="Garamond" w:cs="Arial"/>
        </w:rPr>
        <w:t xml:space="preserve"> </w:t>
      </w:r>
      <w:r w:rsidRPr="00C04C4B">
        <w:rPr>
          <w:rFonts w:ascii="Garamond" w:hAnsi="Garamond" w:cs="Arial"/>
        </w:rPr>
        <w:t>la</w:t>
      </w:r>
      <w:r w:rsidRPr="00C04C4B">
        <w:rPr>
          <w:rFonts w:ascii="Garamond" w:eastAsia="Arial" w:hAnsi="Garamond" w:cs="Arial"/>
        </w:rPr>
        <w:t xml:space="preserve"> </w:t>
      </w:r>
      <w:r w:rsidRPr="00C04C4B">
        <w:rPr>
          <w:rFonts w:ascii="Garamond" w:hAnsi="Garamond" w:cs="Arial"/>
        </w:rPr>
        <w:t>gravedad</w:t>
      </w:r>
      <w:r w:rsidRPr="00C04C4B">
        <w:rPr>
          <w:rFonts w:ascii="Garamond" w:eastAsia="Arial" w:hAnsi="Garamond" w:cs="Arial"/>
        </w:rPr>
        <w:t xml:space="preserve"> </w:t>
      </w:r>
      <w:r w:rsidRPr="00C04C4B">
        <w:rPr>
          <w:rFonts w:ascii="Garamond" w:hAnsi="Garamond" w:cs="Arial"/>
        </w:rPr>
        <w:t>del</w:t>
      </w:r>
      <w:r w:rsidRPr="00C04C4B">
        <w:rPr>
          <w:rFonts w:ascii="Garamond" w:eastAsia="Arial" w:hAnsi="Garamond" w:cs="Arial"/>
        </w:rPr>
        <w:t xml:space="preserve"> </w:t>
      </w:r>
      <w:r w:rsidRPr="00C04C4B">
        <w:rPr>
          <w:rFonts w:ascii="Garamond" w:hAnsi="Garamond" w:cs="Arial"/>
        </w:rPr>
        <w:t xml:space="preserve">juramento en el “Formato 4 – Capacidad financiera y organizacional </w:t>
      </w:r>
      <w:r w:rsidRPr="00C04C4B">
        <w:rPr>
          <w:rStyle w:val="normaltextrun"/>
          <w:rFonts w:ascii="Garamond" w:eastAsiaTheme="majorEastAsia" w:hAnsi="Garamond" w:cs="Arial"/>
          <w:color w:val="000000"/>
          <w:shd w:val="clear" w:color="auto" w:fill="FFFFFF"/>
          <w:lang w:val="es-ES"/>
        </w:rPr>
        <w:t>(</w:t>
      </w:r>
      <w:r w:rsidRPr="00C04C4B">
        <w:rPr>
          <w:rStyle w:val="normaltextrun"/>
          <w:rFonts w:ascii="Garamond" w:hAnsi="Garamond" w:cs="Arial"/>
          <w:color w:val="000000"/>
          <w:shd w:val="clear" w:color="auto" w:fill="FFFFFF"/>
          <w:lang w:val="es-ES"/>
        </w:rPr>
        <w:t>Personas naturales o jurídicas ex</w:t>
      </w:r>
      <w:r w:rsidRPr="00C04C4B">
        <w:rPr>
          <w:rStyle w:val="normaltextrun"/>
          <w:rFonts w:ascii="Garamond" w:hAnsi="Garamond" w:cs="Arial"/>
          <w:color w:val="D13438"/>
          <w:u w:val="single"/>
          <w:shd w:val="clear" w:color="auto" w:fill="FFFFFF"/>
          <w:lang w:val="es-ES"/>
        </w:rPr>
        <w:t>t</w:t>
      </w:r>
      <w:r w:rsidRPr="00C04C4B">
        <w:rPr>
          <w:rStyle w:val="normaltextrun"/>
          <w:rFonts w:ascii="Garamond" w:hAnsi="Garamond" w:cs="Arial"/>
          <w:color w:val="000000"/>
          <w:shd w:val="clear" w:color="auto" w:fill="FFFFFF"/>
          <w:lang w:val="es-ES"/>
        </w:rPr>
        <w:t>ranjeras sin domicilio o sucursal en Colombia</w:t>
      </w:r>
      <w:r w:rsidRPr="00C04C4B">
        <w:rPr>
          <w:rStyle w:val="normaltextrun"/>
          <w:rFonts w:ascii="Garamond" w:eastAsiaTheme="majorEastAsia" w:hAnsi="Garamond" w:cs="Arial"/>
          <w:color w:val="000000"/>
          <w:shd w:val="clear" w:color="auto" w:fill="FFFFFF"/>
          <w:lang w:val="es-ES"/>
        </w:rPr>
        <w:t>)</w:t>
      </w:r>
      <w:r w:rsidRPr="00C04C4B">
        <w:rPr>
          <w:rFonts w:ascii="Garamond" w:hAnsi="Garamond" w:cs="Arial"/>
        </w:rPr>
        <w:t>”</w:t>
      </w:r>
      <w:r w:rsidRPr="00C04C4B">
        <w:rPr>
          <w:rFonts w:ascii="Garamond" w:eastAsia="Arial" w:hAnsi="Garamond" w:cs="Arial"/>
        </w:rPr>
        <w:t>.</w:t>
      </w:r>
      <w:r w:rsidRPr="00C04C4B">
        <w:rPr>
          <w:rFonts w:ascii="Garamond" w:hAnsi="Garamond" w:cs="Arial"/>
        </w:rPr>
        <w:t xml:space="preserve"> El Proponente podrá acreditar este requisito con un documento que así lo certifique emitido por una</w:t>
      </w:r>
      <w:r w:rsidRPr="00C04C4B">
        <w:rPr>
          <w:rFonts w:ascii="Garamond" w:eastAsia="Arial" w:hAnsi="Garamond" w:cs="Arial"/>
        </w:rPr>
        <w:t xml:space="preserve"> </w:t>
      </w:r>
      <w:r w:rsidRPr="00C04C4B">
        <w:rPr>
          <w:rFonts w:ascii="Garamond" w:hAnsi="Garamond" w:cs="Arial"/>
        </w:rPr>
        <w:t>firma de</w:t>
      </w:r>
      <w:r w:rsidRPr="00C04C4B">
        <w:rPr>
          <w:rFonts w:ascii="Garamond" w:eastAsia="Arial" w:hAnsi="Garamond" w:cs="Arial"/>
        </w:rPr>
        <w:t xml:space="preserve"> </w:t>
      </w:r>
      <w:r w:rsidRPr="00C04C4B">
        <w:rPr>
          <w:rFonts w:ascii="Garamond" w:hAnsi="Garamond" w:cs="Arial"/>
        </w:rPr>
        <w:t>auditoría</w:t>
      </w:r>
      <w:r w:rsidRPr="00C04C4B">
        <w:rPr>
          <w:rFonts w:ascii="Garamond" w:eastAsia="Arial" w:hAnsi="Garamond" w:cs="Arial"/>
        </w:rPr>
        <w:t xml:space="preserve"> </w:t>
      </w:r>
      <w:r w:rsidRPr="00C04C4B">
        <w:rPr>
          <w:rFonts w:ascii="Garamond" w:hAnsi="Garamond" w:cs="Arial"/>
        </w:rPr>
        <w:t>externa.</w:t>
      </w:r>
    </w:p>
    <w:p w14:paraId="0E126662" w14:textId="77777777" w:rsidR="00C04C4B" w:rsidRPr="00C04C4B" w:rsidRDefault="00C04C4B" w:rsidP="00C04C4B">
      <w:pPr>
        <w:jc w:val="both"/>
        <w:rPr>
          <w:rFonts w:ascii="Garamond" w:eastAsia="Arial" w:hAnsi="Garamond" w:cs="Arial"/>
        </w:rPr>
      </w:pPr>
    </w:p>
    <w:p w14:paraId="72EE6769" w14:textId="77777777" w:rsidR="00C04C4B" w:rsidRPr="00C04C4B" w:rsidRDefault="00C04C4B" w:rsidP="00C04C4B">
      <w:pPr>
        <w:jc w:val="both"/>
        <w:rPr>
          <w:rFonts w:ascii="Garamond" w:eastAsiaTheme="minorEastAsia" w:hAnsi="Garamond" w:cs="Arial"/>
        </w:rPr>
      </w:pPr>
      <w:r w:rsidRPr="00C04C4B">
        <w:rPr>
          <w:rFonts w:ascii="Garamond" w:eastAsia="Arial" w:hAnsi="Garamond" w:cs="Arial"/>
        </w:rPr>
        <w:t>Si los valores de los Estados Financieros están expresados originalmente en una moneda diferente a Dólares de los Estados Unidos de América, estos deberán convertirse a Pesos Colombianos en los términos definidos en la sección 1.13.</w:t>
      </w:r>
      <w:bookmarkStart w:id="387" w:name="_Hlk511144838"/>
      <w:bookmarkStart w:id="388" w:name="_Hlk516154246"/>
      <w:bookmarkEnd w:id="386"/>
      <w:r w:rsidRPr="00C04C4B">
        <w:rPr>
          <w:rFonts w:ascii="Garamond" w:eastAsiaTheme="minorEastAsia" w:hAnsi="Garamond" w:cs="Arial"/>
        </w:rPr>
        <w:t xml:space="preserve"> del Pliego de Condiciones. </w:t>
      </w:r>
    </w:p>
    <w:p w14:paraId="3F020E9F" w14:textId="77777777" w:rsidR="00C04C4B" w:rsidRPr="00C04C4B" w:rsidRDefault="00C04C4B" w:rsidP="00C04C4B">
      <w:pPr>
        <w:jc w:val="both"/>
        <w:rPr>
          <w:rFonts w:ascii="Garamond" w:eastAsiaTheme="minorEastAsia" w:hAnsi="Garamond" w:cs="Arial"/>
        </w:rPr>
      </w:pPr>
    </w:p>
    <w:p w14:paraId="4CF7BDC2" w14:textId="2795EF4C" w:rsidR="00C04C4B" w:rsidRPr="00C04C4B" w:rsidRDefault="00C04C4B" w:rsidP="00A23238">
      <w:pPr>
        <w:pStyle w:val="Capitulo1"/>
        <w:numPr>
          <w:ilvl w:val="1"/>
          <w:numId w:val="54"/>
        </w:numPr>
        <w:tabs>
          <w:tab w:val="left" w:pos="851"/>
        </w:tabs>
        <w:spacing w:line="240" w:lineRule="auto"/>
        <w:jc w:val="both"/>
        <w:rPr>
          <w:rFonts w:ascii="Garamond" w:eastAsia="Arial" w:hAnsi="Garamond"/>
          <w:color w:val="auto"/>
          <w:sz w:val="22"/>
          <w:szCs w:val="22"/>
        </w:rPr>
      </w:pPr>
      <w:bookmarkStart w:id="389" w:name="_Toc108082918"/>
      <w:bookmarkStart w:id="390" w:name="_Toc215132448"/>
      <w:r w:rsidRPr="00C04C4B">
        <w:rPr>
          <w:rFonts w:ascii="Garamond" w:eastAsia="Arial" w:hAnsi="Garamond"/>
          <w:color w:val="auto"/>
          <w:sz w:val="22"/>
          <w:szCs w:val="22"/>
        </w:rPr>
        <w:t>EXIGENCIAS MÍNIMAS DE LA EXPERIENCIA DEL PROPONENTE, Y LA EXPERIENCIA Y FORMACIÓN ACADÉMICA DEL EQUIPO DE TRABAJO (Personal Clave Evaluable)</w:t>
      </w:r>
      <w:bookmarkEnd w:id="389"/>
      <w:bookmarkEnd w:id="390"/>
      <w:r w:rsidRPr="00C04C4B">
        <w:rPr>
          <w:rFonts w:ascii="Garamond" w:eastAsia="Arial" w:hAnsi="Garamond"/>
          <w:color w:val="auto"/>
          <w:sz w:val="22"/>
          <w:szCs w:val="22"/>
        </w:rPr>
        <w:t xml:space="preserve"> </w:t>
      </w:r>
    </w:p>
    <w:p w14:paraId="573786B4" w14:textId="18D65A03" w:rsidR="00C04C4B" w:rsidRPr="00C04C4B" w:rsidRDefault="00C04C4B" w:rsidP="00A23238">
      <w:pPr>
        <w:pStyle w:val="Capitulo1"/>
        <w:numPr>
          <w:ilvl w:val="2"/>
          <w:numId w:val="54"/>
        </w:numPr>
        <w:tabs>
          <w:tab w:val="left" w:pos="851"/>
        </w:tabs>
        <w:spacing w:line="240" w:lineRule="auto"/>
        <w:jc w:val="both"/>
        <w:rPr>
          <w:rFonts w:ascii="Garamond" w:eastAsia="Arial" w:hAnsi="Garamond"/>
          <w:color w:val="auto"/>
          <w:sz w:val="22"/>
          <w:szCs w:val="22"/>
        </w:rPr>
      </w:pPr>
      <w:bookmarkStart w:id="391" w:name="_Toc215132449"/>
      <w:bookmarkStart w:id="392" w:name="_Toc108082919"/>
      <w:r w:rsidRPr="00C04C4B">
        <w:rPr>
          <w:rFonts w:ascii="Garamond" w:eastAsia="Arial" w:hAnsi="Garamond"/>
          <w:color w:val="auto"/>
          <w:sz w:val="22"/>
          <w:szCs w:val="22"/>
        </w:rPr>
        <w:t>EXIGENCIA MÍNIMA DE LA EXPERIENCIA DEL PROPONENTE</w:t>
      </w:r>
      <w:bookmarkEnd w:id="391"/>
      <w:bookmarkEnd w:id="392"/>
    </w:p>
    <w:p w14:paraId="08378F52" w14:textId="77777777" w:rsidR="00C04C4B" w:rsidRPr="00C04C4B" w:rsidRDefault="00C04C4B" w:rsidP="00C04C4B">
      <w:pPr>
        <w:jc w:val="both"/>
        <w:rPr>
          <w:rFonts w:ascii="Garamond" w:hAnsi="Garamond" w:cs="Arial"/>
        </w:rPr>
      </w:pPr>
    </w:p>
    <w:p w14:paraId="5681EDCB" w14:textId="77777777" w:rsidR="00C04C4B" w:rsidRPr="00C04C4B" w:rsidRDefault="00C04C4B" w:rsidP="00C04C4B">
      <w:pPr>
        <w:jc w:val="both"/>
        <w:rPr>
          <w:rFonts w:ascii="Garamond" w:hAnsi="Garamond" w:cs="Arial"/>
        </w:rPr>
      </w:pPr>
      <w:r w:rsidRPr="00C04C4B">
        <w:rPr>
          <w:rFonts w:ascii="Garamond" w:hAnsi="Garamond" w:cs="Arial"/>
        </w:rPr>
        <w:t xml:space="preserve">Para habilitarse en el Proceso de Contratación, el Proponente acreditará que la sumatoria de los contratos aportados como experiencia es mayor o igual al cien por ciento (100 %) respecto del valor total del Presupuesto Oficial establecido para el Proceso de Contratación expresado en </w:t>
      </w:r>
      <w:proofErr w:type="spellStart"/>
      <w:r w:rsidRPr="00C04C4B">
        <w:rPr>
          <w:rFonts w:ascii="Garamond" w:hAnsi="Garamond" w:cs="Arial"/>
        </w:rPr>
        <w:t>SMMLV</w:t>
      </w:r>
      <w:proofErr w:type="spellEnd"/>
      <w:r w:rsidRPr="00C04C4B">
        <w:rPr>
          <w:rFonts w:ascii="Garamond" w:hAnsi="Garamond" w:cs="Arial"/>
        </w:rPr>
        <w:t>. Estos contratos serán verificados en el Registro Único de Proponentes (</w:t>
      </w:r>
      <w:proofErr w:type="spellStart"/>
      <w:r w:rsidRPr="00C04C4B">
        <w:rPr>
          <w:rFonts w:ascii="Garamond" w:hAnsi="Garamond" w:cs="Arial"/>
        </w:rPr>
        <w:t>RUP</w:t>
      </w:r>
      <w:proofErr w:type="spellEnd"/>
      <w:r w:rsidRPr="00C04C4B">
        <w:rPr>
          <w:rFonts w:ascii="Garamond" w:hAnsi="Garamond" w:cs="Arial"/>
        </w:rPr>
        <w:t xml:space="preserve">) y en el “Formato 3 – Experiencia”, para los Proponentes que no están obligados a estar inscritos en el </w:t>
      </w:r>
      <w:proofErr w:type="spellStart"/>
      <w:r w:rsidRPr="00C04C4B">
        <w:rPr>
          <w:rFonts w:ascii="Garamond" w:hAnsi="Garamond" w:cs="Arial"/>
        </w:rPr>
        <w:t>RUP</w:t>
      </w:r>
      <w:proofErr w:type="spellEnd"/>
      <w:r w:rsidRPr="00C04C4B">
        <w:rPr>
          <w:rFonts w:ascii="Garamond" w:hAnsi="Garamond" w:cs="Arial"/>
        </w:rPr>
        <w:t>, cumpliendo con los requisitos de experiencia previstos en el numeral “10.1 Acreditación de la experiencia del Proponente” del Pliego de Condiciones.</w:t>
      </w:r>
    </w:p>
    <w:p w14:paraId="518C56A4" w14:textId="77777777" w:rsidR="00C04C4B" w:rsidRPr="00C04C4B" w:rsidRDefault="00C04C4B" w:rsidP="00C04C4B">
      <w:pPr>
        <w:jc w:val="both"/>
        <w:rPr>
          <w:rFonts w:ascii="Garamond" w:hAnsi="Garamond" w:cs="Arial"/>
        </w:rPr>
      </w:pPr>
    </w:p>
    <w:p w14:paraId="0FE4BFE0" w14:textId="77777777" w:rsidR="00C04C4B" w:rsidRPr="00C04C4B" w:rsidRDefault="00C04C4B" w:rsidP="00C04C4B">
      <w:pPr>
        <w:jc w:val="both"/>
        <w:rPr>
          <w:rFonts w:ascii="Garamond" w:hAnsi="Garamond" w:cs="Arial"/>
        </w:rPr>
      </w:pPr>
      <w:r w:rsidRPr="00C04C4B">
        <w:rPr>
          <w:rFonts w:ascii="Garamond" w:hAnsi="Garamond" w:cs="Arial"/>
          <w:b/>
          <w:bCs/>
        </w:rPr>
        <w:t>Nota 6:</w:t>
      </w:r>
      <w:r w:rsidRPr="00C04C4B">
        <w:rPr>
          <w:rFonts w:ascii="Garamond" w:hAnsi="Garamond" w:cs="Arial"/>
        </w:rPr>
        <w:t xml:space="preserve"> El Formato 3 – Experiencia es un documento de forma que contiene la relación de los contratos aportados por los proponentes para efectos de acreditar la experiencia, sin embargo, este documento no otorga puntaje y tampoco se exime a los proponentes de no presentarlo, en tal sentido el formato será de carácter habilitante y no será tenido en cuenta para efectos de ponderación de la experiencia de las ofertas.</w:t>
      </w:r>
    </w:p>
    <w:p w14:paraId="55A1B63C" w14:textId="77777777" w:rsidR="00C04C4B" w:rsidRPr="00C04C4B" w:rsidRDefault="00C04C4B" w:rsidP="00C04C4B">
      <w:pPr>
        <w:jc w:val="both"/>
        <w:rPr>
          <w:rFonts w:ascii="Garamond" w:hAnsi="Garamond" w:cs="Arial"/>
        </w:rPr>
      </w:pPr>
    </w:p>
    <w:p w14:paraId="37D90F0A" w14:textId="77777777" w:rsidR="00C04C4B" w:rsidRPr="00C04C4B" w:rsidRDefault="00C04C4B" w:rsidP="00C04C4B">
      <w:pPr>
        <w:jc w:val="both"/>
        <w:rPr>
          <w:rFonts w:ascii="Garamond" w:eastAsia="Arial" w:hAnsi="Garamond" w:cs="Arial"/>
        </w:rPr>
      </w:pPr>
      <w:r w:rsidRPr="00C04C4B">
        <w:rPr>
          <w:rFonts w:ascii="Garamond" w:eastAsia="Arial" w:hAnsi="Garamond" w:cs="Arial"/>
        </w:rPr>
        <w:t xml:space="preserve">Además, para habilitarse en el Proceso de Contratación mediante los contratos aportados, en caso de ser procedente, deberá acreditarse la experiencia solicitada frente a la actividad principal; al igual que la experiencia en las actividades secundarias en el evento de que se solicite combinación de experiencia de la “Matriz 1 – Experiencia”. Igualmente, deberá demostrarse la experiencia adicional cuando el proyecto a ejecutar incluya servicios adicionales a la interventoría de obra pública de infraestructura social. Lo anterior, de conformidad con lo exigido en el numeral 10.1.1 </w:t>
      </w:r>
      <w:r w:rsidRPr="00C04C4B">
        <w:rPr>
          <w:rFonts w:ascii="Garamond" w:hAnsi="Garamond" w:cs="Arial"/>
        </w:rPr>
        <w:t>del Pliego de Condiciones</w:t>
      </w:r>
      <w:r w:rsidRPr="00C04C4B">
        <w:rPr>
          <w:rFonts w:ascii="Garamond" w:eastAsia="Arial" w:hAnsi="Garamond" w:cs="Arial"/>
        </w:rPr>
        <w:t>.</w:t>
      </w:r>
    </w:p>
    <w:p w14:paraId="1D22B40C" w14:textId="77777777" w:rsidR="00C04C4B" w:rsidRPr="00C04C4B" w:rsidRDefault="00C04C4B" w:rsidP="00C04C4B">
      <w:pPr>
        <w:jc w:val="both"/>
        <w:rPr>
          <w:rFonts w:ascii="Garamond" w:eastAsiaTheme="minorEastAsia" w:hAnsi="Garamond" w:cstheme="minorBidi"/>
          <w:highlight w:val="lightGray"/>
        </w:rPr>
      </w:pPr>
    </w:p>
    <w:p w14:paraId="5761F9CA" w14:textId="77777777" w:rsidR="00C04C4B" w:rsidRPr="00C04C4B" w:rsidRDefault="00C04C4B" w:rsidP="00C04C4B">
      <w:pPr>
        <w:jc w:val="both"/>
        <w:rPr>
          <w:rFonts w:ascii="Garamond" w:eastAsia="Arial" w:hAnsi="Garamond" w:cs="Arial"/>
        </w:rPr>
      </w:pPr>
      <w:r w:rsidRPr="00C04C4B">
        <w:rPr>
          <w:rFonts w:ascii="Garamond" w:eastAsia="Arial" w:hAnsi="Garamond" w:cs="Arial"/>
        </w:rPr>
        <w:lastRenderedPageBreak/>
        <w:t>En caso de que con los contratos aportados no se acrediten los requisitos exigidos en los dos párrafos anteriores, la Entidad solicitará al Proponente que subsane su oferta en los términos del numeral 1.6 del Pliego de Condiciones. Si el Proponente subsana el requisito mínimo de experiencia se habilitará en el Proceso de Contratación, pero no se tendrán en cuenta estos contratos para la asignación del puntaje. En otras palabras, el otorgamiento de puntaje se realizará con los contratos válidos allegados en su oferta y que no fueron objeto de subsanación por parte del Proponente.</w:t>
      </w:r>
    </w:p>
    <w:p w14:paraId="5437D26E" w14:textId="77777777" w:rsidR="00C04C4B" w:rsidRPr="00C04C4B" w:rsidRDefault="00C04C4B" w:rsidP="00C04C4B">
      <w:pPr>
        <w:jc w:val="both"/>
        <w:rPr>
          <w:rFonts w:ascii="Garamond" w:hAnsi="Garamond" w:cs="Arial"/>
        </w:rPr>
      </w:pPr>
    </w:p>
    <w:p w14:paraId="7C90A0C6" w14:textId="77777777" w:rsidR="00C04C4B" w:rsidRPr="00C04C4B" w:rsidRDefault="00C04C4B" w:rsidP="00C04C4B">
      <w:pPr>
        <w:jc w:val="both"/>
        <w:rPr>
          <w:rFonts w:ascii="Garamond" w:eastAsia="Verdana" w:hAnsi="Garamond" w:cs="Verdana"/>
        </w:rPr>
      </w:pPr>
      <w:r w:rsidRPr="00C04C4B">
        <w:rPr>
          <w:rFonts w:ascii="Garamond" w:eastAsia="Verdana" w:hAnsi="Garamond" w:cs="Verdana"/>
        </w:rPr>
        <w:t xml:space="preserve">Se considera que la evaluación del requisito de experiencia, en los casos en los que esta se acredita con contratos que contienen pluralidad de actividades debe hacerse únicamente respecto de las actividades que se ajustan al requisito de experiencia exigible según la matriz 1 y el literal A del numeral 10.1.1 del documento base. </w:t>
      </w:r>
    </w:p>
    <w:p w14:paraId="5374C277" w14:textId="77777777" w:rsidR="00C04C4B" w:rsidRPr="00C04C4B" w:rsidRDefault="00C04C4B" w:rsidP="00C04C4B">
      <w:pPr>
        <w:spacing w:before="240" w:after="240"/>
        <w:jc w:val="both"/>
        <w:rPr>
          <w:rFonts w:ascii="Garamond" w:eastAsia="Verdana" w:hAnsi="Garamond" w:cs="Verdana"/>
          <w:color w:val="498205"/>
        </w:rPr>
      </w:pPr>
      <w:r w:rsidRPr="00C04C4B">
        <w:rPr>
          <w:rFonts w:ascii="Garamond" w:eastAsia="Verdana" w:hAnsi="Garamond" w:cs="Verdana"/>
        </w:rPr>
        <w:t>De otra parte, el mismo razonamiento aplica, según el cual, la evaluación de la experiencia acreditada mediante un contrato con variadas actividades debe ser dividida en función de las actividades que sí se ajustan a las características de la experiencia exigida, siendo aplicable en lo relacionado a los requisitos de experiencia en términos de dimensionamiento</w:t>
      </w:r>
      <w:r w:rsidRPr="00C04C4B">
        <w:rPr>
          <w:rFonts w:ascii="Garamond" w:eastAsia="Verdana" w:hAnsi="Garamond" w:cs="Verdana"/>
          <w:color w:val="498205"/>
          <w:u w:val="single"/>
        </w:rPr>
        <w:t>.</w:t>
      </w:r>
    </w:p>
    <w:p w14:paraId="415536DB" w14:textId="77777777" w:rsidR="00C04C4B" w:rsidRPr="00C04C4B" w:rsidRDefault="00C04C4B" w:rsidP="00A23238">
      <w:pPr>
        <w:pStyle w:val="Capitulo1"/>
        <w:numPr>
          <w:ilvl w:val="1"/>
          <w:numId w:val="54"/>
        </w:numPr>
        <w:tabs>
          <w:tab w:val="left" w:pos="851"/>
        </w:tabs>
        <w:spacing w:line="240" w:lineRule="auto"/>
        <w:jc w:val="both"/>
        <w:rPr>
          <w:rFonts w:ascii="Garamond" w:eastAsia="Arial" w:hAnsi="Garamond"/>
          <w:color w:val="auto"/>
          <w:sz w:val="22"/>
          <w:szCs w:val="22"/>
        </w:rPr>
      </w:pPr>
      <w:r w:rsidRPr="00C04C4B">
        <w:rPr>
          <w:rFonts w:ascii="Garamond" w:eastAsia="Arial" w:hAnsi="Garamond"/>
          <w:color w:val="auto"/>
          <w:sz w:val="22"/>
          <w:szCs w:val="22"/>
        </w:rPr>
        <w:t>DETERMINACIÓN DE LOS REQUISITOS MÍNIMOS DE EXPERIENCIA SEGÚN LA MATRIZ 1 – EXPERIENCIA</w:t>
      </w:r>
    </w:p>
    <w:p w14:paraId="420E31E4" w14:textId="28B3D4B1" w:rsidR="00C04C4B" w:rsidRDefault="00C04C4B" w:rsidP="00C04C4B">
      <w:pPr>
        <w:spacing w:before="240" w:after="240"/>
        <w:jc w:val="both"/>
        <w:rPr>
          <w:rFonts w:ascii="Garamond" w:eastAsia="Verdana" w:hAnsi="Garamond" w:cs="Verdana"/>
        </w:rPr>
      </w:pPr>
      <w:r w:rsidRPr="00C04C4B">
        <w:rPr>
          <w:rFonts w:ascii="Garamond" w:eastAsia="Verdana" w:hAnsi="Garamond" w:cs="Verdana"/>
        </w:rPr>
        <w:t xml:space="preserve">De conformidad con lo anterior, los requisitos de experiencia son: </w:t>
      </w:r>
    </w:p>
    <w:p w14:paraId="73F47E67" w14:textId="77777777" w:rsidR="00252FD5" w:rsidRPr="00C04C4B" w:rsidRDefault="00252FD5" w:rsidP="00252FD5">
      <w:pPr>
        <w:jc w:val="both"/>
        <w:rPr>
          <w:rFonts w:ascii="Garamond" w:eastAsia="Garamond" w:hAnsi="Garamond" w:cs="Garamond"/>
        </w:rPr>
      </w:pPr>
      <w:r w:rsidRPr="00C04C4B">
        <w:rPr>
          <w:rFonts w:ascii="Garamond" w:eastAsia="Garamond" w:hAnsi="Garamond" w:cs="Garamond"/>
        </w:rPr>
        <w:t>Que hayan contenido la ejecución de:</w:t>
      </w:r>
    </w:p>
    <w:p w14:paraId="05A2212B" w14:textId="77777777" w:rsidR="00252FD5" w:rsidRPr="00C04C4B" w:rsidRDefault="00252FD5" w:rsidP="00252FD5">
      <w:pPr>
        <w:jc w:val="both"/>
        <w:rPr>
          <w:rFonts w:ascii="Garamond" w:eastAsia="Garamond" w:hAnsi="Garamond" w:cs="Garamond"/>
        </w:rPr>
      </w:pPr>
    </w:p>
    <w:p w14:paraId="37DF29E4" w14:textId="77777777" w:rsidR="00252FD5" w:rsidRPr="00C04C4B" w:rsidRDefault="00252FD5" w:rsidP="00252FD5">
      <w:pPr>
        <w:jc w:val="both"/>
        <w:rPr>
          <w:rFonts w:ascii="Garamond" w:eastAsia="Garamond" w:hAnsi="Garamond" w:cs="Garamond"/>
        </w:rPr>
      </w:pPr>
      <w:r w:rsidRPr="00C04C4B">
        <w:rPr>
          <w:rFonts w:ascii="Garamond" w:eastAsia="Garamond" w:hAnsi="Garamond" w:cs="Garamond"/>
        </w:rPr>
        <w:t>2.1. INTERVENTORÍA A PROYECTOS DE CONSTRUCCIÓN Y/O AMPLIACIÓN Y/O RECONSTRUCCIÓN DE PARQUES Y/O ESPACIO PUBLICO Y/O ALAMEDAS</w:t>
      </w:r>
    </w:p>
    <w:p w14:paraId="0756DD4F" w14:textId="77777777" w:rsidR="00252FD5" w:rsidRPr="00C04C4B" w:rsidRDefault="00252FD5" w:rsidP="00252FD5">
      <w:pPr>
        <w:jc w:val="both"/>
        <w:rPr>
          <w:rFonts w:ascii="Garamond" w:eastAsia="Garamond" w:hAnsi="Garamond" w:cs="Garamond"/>
        </w:rPr>
      </w:pPr>
    </w:p>
    <w:p w14:paraId="2A74CC22" w14:textId="77777777" w:rsidR="00252FD5" w:rsidRPr="00C04C4B" w:rsidRDefault="00252FD5" w:rsidP="00252FD5">
      <w:pPr>
        <w:jc w:val="both"/>
        <w:rPr>
          <w:rFonts w:ascii="Garamond" w:eastAsia="Garamond" w:hAnsi="Garamond" w:cs="Garamond"/>
        </w:rPr>
      </w:pPr>
      <w:r w:rsidRPr="00C04C4B">
        <w:rPr>
          <w:rFonts w:ascii="Garamond" w:eastAsia="Garamond" w:hAnsi="Garamond" w:cs="Garamond"/>
        </w:rPr>
        <w:t>EXPERIENCIA GENERAL</w:t>
      </w:r>
    </w:p>
    <w:p w14:paraId="5DC8032D" w14:textId="77777777" w:rsidR="00252FD5" w:rsidRPr="00C04C4B" w:rsidRDefault="00252FD5" w:rsidP="00252FD5">
      <w:pPr>
        <w:jc w:val="both"/>
        <w:rPr>
          <w:rFonts w:ascii="Garamond" w:eastAsia="Garamond" w:hAnsi="Garamond" w:cs="Garamond"/>
        </w:rPr>
      </w:pPr>
    </w:p>
    <w:p w14:paraId="5D2EB27B" w14:textId="77777777" w:rsidR="00252FD5" w:rsidRPr="00C04C4B" w:rsidRDefault="00252FD5" w:rsidP="00252FD5">
      <w:pPr>
        <w:jc w:val="both"/>
        <w:rPr>
          <w:rFonts w:ascii="Garamond" w:eastAsia="Garamond" w:hAnsi="Garamond" w:cs="Garamond"/>
        </w:rPr>
      </w:pPr>
      <w:r w:rsidRPr="00C04C4B">
        <w:rPr>
          <w:rFonts w:ascii="Garamond" w:eastAsia="Garamond" w:hAnsi="Garamond" w:cs="Garamond"/>
        </w:rPr>
        <w:t xml:space="preserve">INTERVENTORÍA A PROYECTOS QUE CORRESPONDAN O HAYAN CONTENIDO UNA O ALGUNAS DE LAS SIGUIENTES ACTIVIDADES: </w:t>
      </w:r>
    </w:p>
    <w:p w14:paraId="6382106B" w14:textId="77777777" w:rsidR="00252FD5" w:rsidRPr="00C04C4B" w:rsidRDefault="00252FD5" w:rsidP="00252FD5">
      <w:pPr>
        <w:jc w:val="both"/>
        <w:rPr>
          <w:rFonts w:ascii="Garamond" w:eastAsia="Garamond" w:hAnsi="Garamond" w:cs="Garamond"/>
        </w:rPr>
      </w:pPr>
      <w:r w:rsidRPr="00C04C4B">
        <w:rPr>
          <w:rFonts w:ascii="Garamond" w:eastAsia="Garamond" w:hAnsi="Garamond" w:cs="Garamond"/>
        </w:rPr>
        <w:t xml:space="preserve">- INTERVENTORÍA A CONSTRUCCIÓN Y/O </w:t>
      </w:r>
      <w:proofErr w:type="spellStart"/>
      <w:r w:rsidRPr="00C04C4B">
        <w:rPr>
          <w:rFonts w:ascii="Garamond" w:eastAsia="Garamond" w:hAnsi="Garamond" w:cs="Garamond"/>
        </w:rPr>
        <w:t>AMPLIACION</w:t>
      </w:r>
      <w:proofErr w:type="spellEnd"/>
      <w:r w:rsidRPr="00C04C4B">
        <w:rPr>
          <w:rFonts w:ascii="Garamond" w:eastAsia="Garamond" w:hAnsi="Garamond" w:cs="Garamond"/>
        </w:rPr>
        <w:t xml:space="preserve"> Y/O RECONSTRUCCIÓN DE PARQUES</w:t>
      </w:r>
    </w:p>
    <w:p w14:paraId="0FBCBCC1" w14:textId="77777777" w:rsidR="00252FD5" w:rsidRPr="00C04C4B" w:rsidRDefault="00252FD5" w:rsidP="00252FD5">
      <w:pPr>
        <w:jc w:val="both"/>
        <w:rPr>
          <w:rFonts w:ascii="Garamond" w:eastAsia="Garamond" w:hAnsi="Garamond" w:cs="Garamond"/>
        </w:rPr>
      </w:pPr>
      <w:r w:rsidRPr="00C04C4B">
        <w:rPr>
          <w:rFonts w:ascii="Garamond" w:eastAsia="Garamond" w:hAnsi="Garamond" w:cs="Garamond"/>
        </w:rPr>
        <w:t xml:space="preserve">- INTERVENTORÍA A CONSTRUCCIÓN Y/O </w:t>
      </w:r>
      <w:proofErr w:type="spellStart"/>
      <w:r w:rsidRPr="00C04C4B">
        <w:rPr>
          <w:rFonts w:ascii="Garamond" w:eastAsia="Garamond" w:hAnsi="Garamond" w:cs="Garamond"/>
        </w:rPr>
        <w:t>AMPLIACION</w:t>
      </w:r>
      <w:proofErr w:type="spellEnd"/>
      <w:r w:rsidRPr="00C04C4B">
        <w:rPr>
          <w:rFonts w:ascii="Garamond" w:eastAsia="Garamond" w:hAnsi="Garamond" w:cs="Garamond"/>
        </w:rPr>
        <w:t xml:space="preserve"> Y/O RECONSTRUCCIÓN DE ESPACIO PÚBLICO EFECTIVO</w:t>
      </w:r>
    </w:p>
    <w:p w14:paraId="56A1F075" w14:textId="77777777" w:rsidR="00252FD5" w:rsidRPr="00C04C4B" w:rsidRDefault="00252FD5" w:rsidP="00252FD5">
      <w:pPr>
        <w:jc w:val="both"/>
        <w:rPr>
          <w:rFonts w:ascii="Garamond" w:eastAsia="Garamond" w:hAnsi="Garamond" w:cs="Garamond"/>
        </w:rPr>
      </w:pPr>
      <w:r w:rsidRPr="00C04C4B">
        <w:rPr>
          <w:rFonts w:ascii="Garamond" w:eastAsia="Garamond" w:hAnsi="Garamond" w:cs="Garamond"/>
        </w:rPr>
        <w:t xml:space="preserve">- INTERVENTORÍA A CONSTRUCCIÓN Y/O </w:t>
      </w:r>
      <w:proofErr w:type="spellStart"/>
      <w:r w:rsidRPr="00C04C4B">
        <w:rPr>
          <w:rFonts w:ascii="Garamond" w:eastAsia="Garamond" w:hAnsi="Garamond" w:cs="Garamond"/>
        </w:rPr>
        <w:t>AMPLIACION</w:t>
      </w:r>
      <w:proofErr w:type="spellEnd"/>
      <w:r w:rsidRPr="00C04C4B">
        <w:rPr>
          <w:rFonts w:ascii="Garamond" w:eastAsia="Garamond" w:hAnsi="Garamond" w:cs="Garamond"/>
        </w:rPr>
        <w:t xml:space="preserve"> Y/O RECONSTRUCCIÓN DE PLAZAS</w:t>
      </w:r>
    </w:p>
    <w:p w14:paraId="1D92A920" w14:textId="77777777" w:rsidR="00252FD5" w:rsidRPr="00C04C4B" w:rsidRDefault="00252FD5" w:rsidP="00252FD5">
      <w:pPr>
        <w:jc w:val="both"/>
        <w:rPr>
          <w:rFonts w:ascii="Garamond" w:eastAsia="Garamond" w:hAnsi="Garamond" w:cs="Garamond"/>
        </w:rPr>
      </w:pPr>
      <w:r w:rsidRPr="00C04C4B">
        <w:rPr>
          <w:rFonts w:ascii="Garamond" w:eastAsia="Garamond" w:hAnsi="Garamond" w:cs="Garamond"/>
        </w:rPr>
        <w:t xml:space="preserve">- INTERVENTORÍA A CONSTRUCCIÓN Y/O </w:t>
      </w:r>
      <w:proofErr w:type="spellStart"/>
      <w:r w:rsidRPr="00C04C4B">
        <w:rPr>
          <w:rFonts w:ascii="Garamond" w:eastAsia="Garamond" w:hAnsi="Garamond" w:cs="Garamond"/>
        </w:rPr>
        <w:t>AMPLIACION</w:t>
      </w:r>
      <w:proofErr w:type="spellEnd"/>
      <w:r w:rsidRPr="00C04C4B">
        <w:rPr>
          <w:rFonts w:ascii="Garamond" w:eastAsia="Garamond" w:hAnsi="Garamond" w:cs="Garamond"/>
        </w:rPr>
        <w:t xml:space="preserve"> Y/O RECONSTRUCCIÓN DE PLAZOLETAS Y/O PLAZUELAS</w:t>
      </w:r>
    </w:p>
    <w:p w14:paraId="1E6EE454" w14:textId="77777777" w:rsidR="00252FD5" w:rsidRPr="00C04C4B" w:rsidRDefault="00252FD5" w:rsidP="00252FD5">
      <w:pPr>
        <w:jc w:val="both"/>
        <w:rPr>
          <w:rFonts w:ascii="Garamond" w:eastAsia="Garamond" w:hAnsi="Garamond" w:cs="Garamond"/>
        </w:rPr>
      </w:pPr>
      <w:r w:rsidRPr="00C04C4B">
        <w:rPr>
          <w:rFonts w:ascii="Garamond" w:eastAsia="Garamond" w:hAnsi="Garamond" w:cs="Garamond"/>
        </w:rPr>
        <w:t xml:space="preserve">- INTERVENTORÍA A CONSTRUCCIÓN Y/O </w:t>
      </w:r>
      <w:proofErr w:type="spellStart"/>
      <w:r w:rsidRPr="00C04C4B">
        <w:rPr>
          <w:rFonts w:ascii="Garamond" w:eastAsia="Garamond" w:hAnsi="Garamond" w:cs="Garamond"/>
        </w:rPr>
        <w:t>AMPLIACION</w:t>
      </w:r>
      <w:proofErr w:type="spellEnd"/>
      <w:r w:rsidRPr="00C04C4B">
        <w:rPr>
          <w:rFonts w:ascii="Garamond" w:eastAsia="Garamond" w:hAnsi="Garamond" w:cs="Garamond"/>
        </w:rPr>
        <w:t xml:space="preserve"> Y/O RECONSTRUCCIÓN DE ALAMEDAS</w:t>
      </w:r>
    </w:p>
    <w:p w14:paraId="1F3A2ABB" w14:textId="77777777" w:rsidR="00252FD5" w:rsidRPr="00C04C4B" w:rsidRDefault="00252FD5" w:rsidP="00252FD5">
      <w:pPr>
        <w:jc w:val="both"/>
        <w:rPr>
          <w:rFonts w:ascii="Garamond" w:eastAsia="Garamond" w:hAnsi="Garamond" w:cs="Garamond"/>
        </w:rPr>
      </w:pPr>
      <w:r w:rsidRPr="00C04C4B">
        <w:rPr>
          <w:rFonts w:ascii="Garamond" w:eastAsia="Garamond" w:hAnsi="Garamond" w:cs="Garamond"/>
        </w:rPr>
        <w:t xml:space="preserve">- INTERVENTORÍA A CONSTRUCCIÓN Y/O </w:t>
      </w:r>
      <w:proofErr w:type="spellStart"/>
      <w:r w:rsidRPr="00C04C4B">
        <w:rPr>
          <w:rFonts w:ascii="Garamond" w:eastAsia="Garamond" w:hAnsi="Garamond" w:cs="Garamond"/>
        </w:rPr>
        <w:t>AMPLIACION</w:t>
      </w:r>
      <w:proofErr w:type="spellEnd"/>
      <w:r w:rsidRPr="00C04C4B">
        <w:rPr>
          <w:rFonts w:ascii="Garamond" w:eastAsia="Garamond" w:hAnsi="Garamond" w:cs="Garamond"/>
        </w:rPr>
        <w:t xml:space="preserve"> Y/O RECONSTRUCCIÓN DE </w:t>
      </w:r>
      <w:r w:rsidRPr="00C04C4B">
        <w:rPr>
          <w:rFonts w:ascii="Garamond" w:eastAsia="Garamond" w:hAnsi="Garamond" w:cs="Garamond"/>
        </w:rPr>
        <w:lastRenderedPageBreak/>
        <w:t>SENDEROS PEATONALES</w:t>
      </w:r>
    </w:p>
    <w:p w14:paraId="158614F6" w14:textId="77777777" w:rsidR="00252FD5" w:rsidRPr="00C04C4B" w:rsidRDefault="00252FD5" w:rsidP="00252FD5">
      <w:pPr>
        <w:jc w:val="both"/>
        <w:rPr>
          <w:rFonts w:ascii="Garamond" w:eastAsia="Garamond" w:hAnsi="Garamond" w:cs="Garamond"/>
        </w:rPr>
      </w:pPr>
    </w:p>
    <w:p w14:paraId="53DEF0B7" w14:textId="77777777" w:rsidR="00252FD5" w:rsidRPr="00C04C4B" w:rsidRDefault="00252FD5" w:rsidP="00252FD5">
      <w:pPr>
        <w:jc w:val="both"/>
        <w:rPr>
          <w:rFonts w:ascii="Garamond" w:eastAsia="Garamond" w:hAnsi="Garamond" w:cs="Garamond"/>
        </w:rPr>
      </w:pPr>
      <w:r w:rsidRPr="00C04C4B">
        <w:rPr>
          <w:rFonts w:ascii="Garamond" w:eastAsia="Garamond" w:hAnsi="Garamond" w:cs="Garamond"/>
        </w:rPr>
        <w:t>Nota 1: Para el caso de experiencia de ESPACIO PÚBLICO se excluyen de estos el espacio público Asociado a la Infraestructura de Transporte, salvo que el Proceso de Contratación implique el mantenimiento de vías de circulación internas, así como la conservación o preservación de playas marítimas.</w:t>
      </w:r>
    </w:p>
    <w:p w14:paraId="2AC58408" w14:textId="77777777" w:rsidR="00252FD5" w:rsidRPr="00C04C4B" w:rsidRDefault="00252FD5" w:rsidP="00252FD5">
      <w:pPr>
        <w:jc w:val="both"/>
        <w:rPr>
          <w:rFonts w:ascii="Garamond" w:eastAsia="Garamond" w:hAnsi="Garamond" w:cs="Garamond"/>
        </w:rPr>
      </w:pPr>
    </w:p>
    <w:p w14:paraId="766701CB" w14:textId="77777777" w:rsidR="00252FD5" w:rsidRPr="00C04C4B" w:rsidRDefault="00252FD5" w:rsidP="00252FD5">
      <w:pPr>
        <w:jc w:val="both"/>
        <w:rPr>
          <w:rFonts w:ascii="Garamond" w:eastAsia="Garamond" w:hAnsi="Garamond" w:cs="Garamond"/>
        </w:rPr>
      </w:pPr>
      <w:r w:rsidRPr="00C04C4B">
        <w:rPr>
          <w:rFonts w:ascii="Garamond" w:eastAsia="Garamond" w:hAnsi="Garamond" w:cs="Garamond"/>
        </w:rPr>
        <w:t>Nota 2: La experiencia válida aportada deberá acreditar en por lo menos uno (1) de los contratos actividades de INTERVENTORÍA A suministro e instalación de mobiliario.</w:t>
      </w:r>
    </w:p>
    <w:p w14:paraId="68BCAF3F" w14:textId="77777777" w:rsidR="00252FD5" w:rsidRPr="00C04C4B" w:rsidRDefault="00252FD5" w:rsidP="00252FD5">
      <w:pPr>
        <w:jc w:val="both"/>
        <w:rPr>
          <w:rFonts w:ascii="Garamond" w:eastAsia="Garamond" w:hAnsi="Garamond" w:cs="Garamond"/>
        </w:rPr>
      </w:pPr>
    </w:p>
    <w:p w14:paraId="299BF04F" w14:textId="77777777" w:rsidR="00252FD5" w:rsidRPr="00C04C4B" w:rsidRDefault="00252FD5" w:rsidP="00252FD5">
      <w:pPr>
        <w:jc w:val="both"/>
        <w:rPr>
          <w:rFonts w:ascii="Garamond" w:eastAsia="Garamond" w:hAnsi="Garamond" w:cs="Garamond"/>
        </w:rPr>
      </w:pPr>
      <w:r w:rsidRPr="00C04C4B">
        <w:rPr>
          <w:rFonts w:ascii="Garamond" w:eastAsia="Garamond" w:hAnsi="Garamond" w:cs="Garamond"/>
        </w:rPr>
        <w:t>EXPERIENCIA ESPECIFICA</w:t>
      </w:r>
    </w:p>
    <w:p w14:paraId="5E5EDA2B" w14:textId="77777777" w:rsidR="00252FD5" w:rsidRPr="00C04C4B" w:rsidRDefault="00252FD5" w:rsidP="00252FD5">
      <w:pPr>
        <w:jc w:val="both"/>
        <w:rPr>
          <w:rFonts w:ascii="Garamond" w:eastAsia="Garamond" w:hAnsi="Garamond" w:cs="Garamond"/>
        </w:rPr>
      </w:pPr>
    </w:p>
    <w:p w14:paraId="77E48ACB" w14:textId="77777777" w:rsidR="00252FD5" w:rsidRPr="00C04C4B" w:rsidRDefault="00252FD5" w:rsidP="00252FD5">
      <w:pPr>
        <w:jc w:val="both"/>
        <w:rPr>
          <w:rFonts w:ascii="Garamond" w:eastAsia="Garamond" w:hAnsi="Garamond" w:cs="Garamond"/>
        </w:rPr>
      </w:pPr>
      <w:r w:rsidRPr="00C04C4B">
        <w:rPr>
          <w:rFonts w:ascii="Garamond" w:eastAsia="Garamond" w:hAnsi="Garamond" w:cs="Garamond"/>
        </w:rPr>
        <w:t>Con la sumatoria de uno o hasta máximo dos (2) de los contratos válidos aportados como experiencia general deben contemplar Interventoría a un PROYECTO CON UN área igual o superior al (F%) del total de metros cuadrados del proceso de selección, el cual corresponde a 1752 m2.</w:t>
      </w:r>
    </w:p>
    <w:p w14:paraId="627E3B1A" w14:textId="3A1483F4" w:rsidR="00C04C4B" w:rsidRPr="00C04C4B" w:rsidRDefault="00C04C4B" w:rsidP="00A23238">
      <w:pPr>
        <w:pStyle w:val="Capitulo1"/>
        <w:numPr>
          <w:ilvl w:val="2"/>
          <w:numId w:val="54"/>
        </w:numPr>
        <w:tabs>
          <w:tab w:val="left" w:pos="851"/>
        </w:tabs>
        <w:spacing w:line="240" w:lineRule="auto"/>
        <w:jc w:val="both"/>
        <w:rPr>
          <w:rFonts w:ascii="Garamond" w:eastAsia="Arial" w:hAnsi="Garamond"/>
          <w:color w:val="auto"/>
          <w:sz w:val="22"/>
          <w:szCs w:val="22"/>
        </w:rPr>
      </w:pPr>
      <w:bookmarkStart w:id="393" w:name="_Toc52776743"/>
      <w:bookmarkStart w:id="394" w:name="_Toc52777871"/>
      <w:bookmarkStart w:id="395" w:name="_Toc57994262"/>
      <w:bookmarkStart w:id="396" w:name="_Toc58490513"/>
      <w:bookmarkStart w:id="397" w:name="_Toc58490829"/>
      <w:bookmarkStart w:id="398" w:name="_Toc58491127"/>
      <w:bookmarkStart w:id="399" w:name="_Toc52776744"/>
      <w:bookmarkStart w:id="400" w:name="_Toc52777872"/>
      <w:bookmarkStart w:id="401" w:name="_Toc57994263"/>
      <w:bookmarkStart w:id="402" w:name="_Toc58490514"/>
      <w:bookmarkStart w:id="403" w:name="_Toc58490830"/>
      <w:bookmarkStart w:id="404" w:name="_Toc58491128"/>
      <w:bookmarkStart w:id="405" w:name="_Toc108082920"/>
      <w:bookmarkStart w:id="406" w:name="_Toc215132450"/>
      <w:bookmarkEnd w:id="393"/>
      <w:bookmarkEnd w:id="394"/>
      <w:bookmarkEnd w:id="395"/>
      <w:bookmarkEnd w:id="396"/>
      <w:bookmarkEnd w:id="397"/>
      <w:bookmarkEnd w:id="398"/>
      <w:bookmarkEnd w:id="399"/>
      <w:bookmarkEnd w:id="400"/>
      <w:bookmarkEnd w:id="401"/>
      <w:bookmarkEnd w:id="402"/>
      <w:bookmarkEnd w:id="403"/>
      <w:bookmarkEnd w:id="404"/>
      <w:r w:rsidRPr="00C04C4B">
        <w:rPr>
          <w:rFonts w:ascii="Garamond" w:eastAsia="Arial" w:hAnsi="Garamond"/>
          <w:color w:val="auto"/>
          <w:sz w:val="22"/>
          <w:szCs w:val="22"/>
        </w:rPr>
        <w:t>EXIGENCIAS MÍNIMAS DE EXPERIENCIA Y FORMACIÓN ACADÉMICA DEL EQUIPO DE TRABAJO (Personal Clave Evaluable)</w:t>
      </w:r>
      <w:bookmarkEnd w:id="405"/>
      <w:bookmarkEnd w:id="406"/>
      <w:r w:rsidRPr="00C04C4B">
        <w:rPr>
          <w:rFonts w:ascii="Garamond" w:eastAsia="Arial" w:hAnsi="Garamond"/>
          <w:color w:val="auto"/>
          <w:sz w:val="22"/>
          <w:szCs w:val="22"/>
        </w:rPr>
        <w:t xml:space="preserve"> </w:t>
      </w:r>
    </w:p>
    <w:p w14:paraId="1FAE3674" w14:textId="77777777" w:rsidR="00C04C4B" w:rsidRPr="00C04C4B" w:rsidRDefault="00C04C4B" w:rsidP="00C04C4B">
      <w:pPr>
        <w:jc w:val="both"/>
        <w:rPr>
          <w:rFonts w:ascii="Garamond" w:eastAsia="Arial" w:hAnsi="Garamond" w:cs="Arial"/>
        </w:rPr>
      </w:pPr>
      <w:r w:rsidRPr="00C04C4B">
        <w:rPr>
          <w:rFonts w:ascii="Garamond" w:eastAsia="Arial" w:hAnsi="Garamond" w:cs="Arial"/>
        </w:rPr>
        <w:t>Durante el desarrollo del Proceso de Contratación NO se evaluarán los soportes de los perfiles requeridos, por lo que no serán exigidos como parte de los documentos que conformen la propuesta.  En tal sentido, para habilitarse en el Proceso de Contratación, el Proponente deberá cumplir las siguientes reglas:</w:t>
      </w:r>
    </w:p>
    <w:p w14:paraId="796BCA17" w14:textId="77777777" w:rsidR="00C04C4B" w:rsidRPr="00C04C4B" w:rsidRDefault="00C04C4B" w:rsidP="00C04C4B">
      <w:pPr>
        <w:jc w:val="both"/>
        <w:rPr>
          <w:rFonts w:ascii="Garamond" w:eastAsia="Arial" w:hAnsi="Garamond" w:cs="Arial"/>
        </w:rPr>
      </w:pPr>
    </w:p>
    <w:p w14:paraId="3734DF46" w14:textId="77777777" w:rsidR="00C04C4B" w:rsidRPr="00C04C4B" w:rsidRDefault="00C04C4B" w:rsidP="00A23238">
      <w:pPr>
        <w:pStyle w:val="Prrafodelista"/>
        <w:widowControl/>
        <w:numPr>
          <w:ilvl w:val="0"/>
          <w:numId w:val="44"/>
        </w:numPr>
        <w:spacing w:after="200" w:line="276" w:lineRule="auto"/>
        <w:contextualSpacing/>
        <w:rPr>
          <w:rFonts w:ascii="Garamond" w:hAnsi="Garamond" w:cs="Arial"/>
        </w:rPr>
      </w:pPr>
      <w:r w:rsidRPr="00C04C4B">
        <w:rPr>
          <w:rFonts w:ascii="Garamond" w:hAnsi="Garamond" w:cs="Arial"/>
        </w:rPr>
        <w:t xml:space="preserve">Aportar y diligenciar en forma clara, completa, correcta y legible el </w:t>
      </w:r>
      <w:r w:rsidRPr="00C04C4B">
        <w:rPr>
          <w:rFonts w:ascii="Garamond" w:hAnsi="Garamond" w:cs="Arial"/>
          <w:b/>
        </w:rPr>
        <w:t>“</w:t>
      </w:r>
      <w:r w:rsidRPr="00C04C4B">
        <w:rPr>
          <w:rFonts w:ascii="Garamond" w:hAnsi="Garamond" w:cs="Arial"/>
          <w:b/>
          <w:bCs/>
        </w:rPr>
        <w:t>Formato 8 - Aceptación y cumplimiento de la formación académica y la experiencia del personal clave evaluable”,</w:t>
      </w:r>
      <w:r w:rsidRPr="00C04C4B">
        <w:rPr>
          <w:rFonts w:ascii="Garamond" w:hAnsi="Garamond" w:cs="Arial"/>
        </w:rPr>
        <w:t xml:space="preserve"> de acuerdo con los requisitos y condiciones que allí se indican y demás señaladas en el Pliego de Condiciones y sus documentos anexos. </w:t>
      </w:r>
    </w:p>
    <w:p w14:paraId="02665148" w14:textId="77777777" w:rsidR="00C04C4B" w:rsidRPr="00C04C4B" w:rsidRDefault="00C04C4B" w:rsidP="00C04C4B">
      <w:pPr>
        <w:pStyle w:val="Prrafodelista"/>
        <w:rPr>
          <w:rFonts w:ascii="Garamond" w:hAnsi="Garamond" w:cs="Arial"/>
        </w:rPr>
      </w:pPr>
    </w:p>
    <w:p w14:paraId="2A48EA42" w14:textId="77777777" w:rsidR="00C04C4B" w:rsidRPr="00C04C4B" w:rsidRDefault="00C04C4B" w:rsidP="00A23238">
      <w:pPr>
        <w:pStyle w:val="Prrafodelista"/>
        <w:widowControl/>
        <w:numPr>
          <w:ilvl w:val="0"/>
          <w:numId w:val="44"/>
        </w:numPr>
        <w:spacing w:after="200" w:line="276" w:lineRule="auto"/>
        <w:contextualSpacing/>
        <w:rPr>
          <w:rFonts w:ascii="Garamond" w:hAnsi="Garamond" w:cs="Arial"/>
        </w:rPr>
      </w:pPr>
      <w:r w:rsidRPr="00C04C4B">
        <w:rPr>
          <w:rFonts w:ascii="Garamond" w:hAnsi="Garamond" w:cs="Arial"/>
        </w:rPr>
        <w:t>El “</w:t>
      </w:r>
      <w:r w:rsidRPr="00C04C4B">
        <w:rPr>
          <w:rFonts w:ascii="Garamond" w:hAnsi="Garamond" w:cs="Arial"/>
          <w:b/>
          <w:bCs/>
        </w:rPr>
        <w:t xml:space="preserve">Formato 8 – Aceptación y cumplimiento de la formación académica y la experiencia del personal clave evaluable” </w:t>
      </w:r>
      <w:r w:rsidRPr="00C04C4B">
        <w:rPr>
          <w:rFonts w:ascii="Garamond" w:hAnsi="Garamond" w:cs="Arial"/>
        </w:rPr>
        <w:t>debe suscribirlo el Proponente persona natural, representante legal de la persona jurídica o representante del Proponente Plural.</w:t>
      </w:r>
    </w:p>
    <w:p w14:paraId="2DD98A22" w14:textId="77777777" w:rsidR="00C04C4B" w:rsidRDefault="00C04C4B" w:rsidP="00C04C4B">
      <w:pPr>
        <w:jc w:val="both"/>
        <w:rPr>
          <w:rFonts w:ascii="Garamond" w:hAnsi="Garamond" w:cs="Arial"/>
          <w:highlight w:val="lightGray"/>
        </w:rPr>
      </w:pPr>
      <w:r w:rsidRPr="00C04C4B">
        <w:rPr>
          <w:rFonts w:ascii="Garamond" w:hAnsi="Garamond" w:cs="Arial"/>
        </w:rPr>
        <w:t>Para los fines de este numeral se entiende por Personal Clave Evaluable los siguientes perfiles</w:t>
      </w:r>
    </w:p>
    <w:p w14:paraId="28B36A50" w14:textId="77777777" w:rsidR="00C04C4B" w:rsidRDefault="00C04C4B" w:rsidP="00C04C4B">
      <w:pPr>
        <w:jc w:val="both"/>
        <w:rPr>
          <w:rFonts w:ascii="Garamond" w:hAnsi="Garamond" w:cs="Arial"/>
          <w:highlight w:val="lightGray"/>
        </w:rPr>
      </w:pPr>
    </w:p>
    <w:p w14:paraId="1231BCC6" w14:textId="143ACD30" w:rsidR="009B229C" w:rsidRPr="00963822" w:rsidRDefault="00C04C4B" w:rsidP="00C04C4B">
      <w:pPr>
        <w:jc w:val="both"/>
        <w:rPr>
          <w:rFonts w:ascii="Garamond" w:hAnsi="Garamond" w:cs="Arial"/>
        </w:rPr>
      </w:pPr>
      <w:r w:rsidRPr="00963822">
        <w:rPr>
          <w:rFonts w:ascii="Garamond" w:hAnsi="Garamond" w:cs="Arial"/>
        </w:rPr>
        <w:t>Director de Interventoría</w:t>
      </w:r>
      <w:r w:rsidR="009B229C" w:rsidRPr="00963822">
        <w:rPr>
          <w:rFonts w:ascii="Garamond" w:hAnsi="Garamond" w:cs="Arial"/>
        </w:rPr>
        <w:t xml:space="preserve">: </w:t>
      </w:r>
    </w:p>
    <w:tbl>
      <w:tblPr>
        <w:tblW w:w="4299" w:type="pct"/>
        <w:tblCellMar>
          <w:left w:w="70" w:type="dxa"/>
          <w:right w:w="70" w:type="dxa"/>
        </w:tblCellMar>
        <w:tblLook w:val="04A0" w:firstRow="1" w:lastRow="0" w:firstColumn="1" w:lastColumn="0" w:noHBand="0" w:noVBand="1"/>
      </w:tblPr>
      <w:tblGrid>
        <w:gridCol w:w="1349"/>
        <w:gridCol w:w="1157"/>
        <w:gridCol w:w="3200"/>
        <w:gridCol w:w="1186"/>
        <w:gridCol w:w="1185"/>
      </w:tblGrid>
      <w:tr w:rsidR="009B229C" w:rsidRPr="009B229C" w14:paraId="4FF4F56A" w14:textId="77777777" w:rsidTr="009B229C">
        <w:trPr>
          <w:trHeight w:val="1182"/>
          <w:tblHeader/>
        </w:trPr>
        <w:tc>
          <w:tcPr>
            <w:tcW w:w="835" w:type="pct"/>
            <w:tcBorders>
              <w:top w:val="single" w:sz="4" w:space="0" w:color="auto"/>
              <w:left w:val="single" w:sz="4" w:space="0" w:color="auto"/>
              <w:bottom w:val="single" w:sz="4" w:space="0" w:color="auto"/>
              <w:right w:val="single" w:sz="4" w:space="0" w:color="auto"/>
            </w:tcBorders>
            <w:shd w:val="clear" w:color="000000" w:fill="D0CECE"/>
            <w:vAlign w:val="center"/>
            <w:hideMark/>
          </w:tcPr>
          <w:p w14:paraId="25ED1A00" w14:textId="77777777" w:rsidR="009B229C" w:rsidRPr="009B229C" w:rsidRDefault="009B229C" w:rsidP="009B229C">
            <w:pPr>
              <w:widowControl/>
              <w:jc w:val="center"/>
              <w:rPr>
                <w:rFonts w:ascii="Verdana" w:hAnsi="Verdana" w:cs="Calibri"/>
                <w:b/>
                <w:bCs/>
                <w:color w:val="000000"/>
                <w:sz w:val="16"/>
                <w:szCs w:val="16"/>
                <w:lang w:val="es-CO"/>
              </w:rPr>
            </w:pPr>
            <w:r w:rsidRPr="009B229C">
              <w:rPr>
                <w:rFonts w:ascii="Verdana" w:hAnsi="Verdana" w:cs="Calibri"/>
                <w:b/>
                <w:bCs/>
                <w:color w:val="000000"/>
                <w:sz w:val="16"/>
                <w:szCs w:val="16"/>
                <w:lang w:val="es-CO"/>
              </w:rPr>
              <w:lastRenderedPageBreak/>
              <w:t>Cargo</w:t>
            </w:r>
          </w:p>
        </w:tc>
        <w:tc>
          <w:tcPr>
            <w:tcW w:w="717" w:type="pct"/>
            <w:tcBorders>
              <w:top w:val="single" w:sz="4" w:space="0" w:color="auto"/>
              <w:left w:val="nil"/>
              <w:bottom w:val="single" w:sz="4" w:space="0" w:color="auto"/>
              <w:right w:val="single" w:sz="4" w:space="0" w:color="auto"/>
            </w:tcBorders>
            <w:shd w:val="clear" w:color="000000" w:fill="D0CECE"/>
            <w:vAlign w:val="center"/>
            <w:hideMark/>
          </w:tcPr>
          <w:p w14:paraId="140B3C55" w14:textId="77777777" w:rsidR="009B229C" w:rsidRPr="009B229C" w:rsidRDefault="009B229C" w:rsidP="009B229C">
            <w:pPr>
              <w:widowControl/>
              <w:jc w:val="center"/>
              <w:rPr>
                <w:rFonts w:ascii="Verdana" w:hAnsi="Verdana" w:cs="Calibri"/>
                <w:b/>
                <w:bCs/>
                <w:color w:val="000000"/>
                <w:sz w:val="16"/>
                <w:szCs w:val="16"/>
                <w:lang w:val="es-CO"/>
              </w:rPr>
            </w:pPr>
            <w:r w:rsidRPr="009B229C">
              <w:rPr>
                <w:rFonts w:ascii="Verdana" w:hAnsi="Verdana" w:cs="Calibri"/>
                <w:b/>
                <w:bCs/>
                <w:color w:val="000000"/>
                <w:sz w:val="16"/>
                <w:szCs w:val="16"/>
                <w:lang w:val="es-CO"/>
              </w:rPr>
              <w:t>Título Profesional</w:t>
            </w:r>
          </w:p>
        </w:tc>
        <w:tc>
          <w:tcPr>
            <w:tcW w:w="1981" w:type="pct"/>
            <w:tcBorders>
              <w:top w:val="single" w:sz="4" w:space="0" w:color="auto"/>
              <w:left w:val="nil"/>
              <w:bottom w:val="single" w:sz="4" w:space="0" w:color="auto"/>
              <w:right w:val="single" w:sz="4" w:space="0" w:color="auto"/>
            </w:tcBorders>
            <w:shd w:val="clear" w:color="000000" w:fill="D0CECE"/>
            <w:vAlign w:val="center"/>
            <w:hideMark/>
          </w:tcPr>
          <w:p w14:paraId="0E16438D" w14:textId="77777777" w:rsidR="009B229C" w:rsidRPr="009B229C" w:rsidRDefault="009B229C" w:rsidP="009B229C">
            <w:pPr>
              <w:widowControl/>
              <w:jc w:val="center"/>
              <w:rPr>
                <w:rFonts w:ascii="Verdana" w:hAnsi="Verdana" w:cs="Calibri"/>
                <w:b/>
                <w:bCs/>
                <w:color w:val="000000"/>
                <w:sz w:val="16"/>
                <w:szCs w:val="16"/>
                <w:lang w:val="es-CO"/>
              </w:rPr>
            </w:pPr>
            <w:r w:rsidRPr="009B229C">
              <w:rPr>
                <w:rFonts w:ascii="Verdana" w:hAnsi="Verdana" w:cs="Calibri"/>
                <w:b/>
                <w:bCs/>
                <w:color w:val="000000"/>
                <w:sz w:val="16"/>
                <w:szCs w:val="16"/>
                <w:lang w:val="es-CO"/>
              </w:rPr>
              <w:t>Título de Posgrado</w:t>
            </w:r>
          </w:p>
        </w:tc>
        <w:tc>
          <w:tcPr>
            <w:tcW w:w="734" w:type="pct"/>
            <w:tcBorders>
              <w:top w:val="single" w:sz="4" w:space="0" w:color="auto"/>
              <w:left w:val="nil"/>
              <w:bottom w:val="single" w:sz="4" w:space="0" w:color="auto"/>
              <w:right w:val="single" w:sz="4" w:space="0" w:color="auto"/>
            </w:tcBorders>
            <w:shd w:val="clear" w:color="000000" w:fill="D0CECE"/>
            <w:vAlign w:val="center"/>
            <w:hideMark/>
          </w:tcPr>
          <w:p w14:paraId="7925D4D3" w14:textId="77777777" w:rsidR="009B229C" w:rsidRPr="009B229C" w:rsidRDefault="009B229C" w:rsidP="009B229C">
            <w:pPr>
              <w:widowControl/>
              <w:jc w:val="center"/>
              <w:rPr>
                <w:rFonts w:ascii="Verdana" w:hAnsi="Verdana" w:cs="Calibri"/>
                <w:b/>
                <w:bCs/>
                <w:color w:val="000000"/>
                <w:sz w:val="16"/>
                <w:szCs w:val="16"/>
                <w:lang w:val="es-CO"/>
              </w:rPr>
            </w:pPr>
            <w:r w:rsidRPr="009B229C">
              <w:rPr>
                <w:rFonts w:ascii="Verdana" w:hAnsi="Verdana" w:cs="Calibri"/>
                <w:b/>
                <w:bCs/>
                <w:color w:val="000000"/>
                <w:sz w:val="16"/>
                <w:szCs w:val="16"/>
                <w:lang w:val="es-CO"/>
              </w:rPr>
              <w:t>Experiencia General</w:t>
            </w:r>
            <w:r w:rsidRPr="009B229C">
              <w:rPr>
                <w:rFonts w:ascii="Verdana" w:hAnsi="Verdana" w:cs="Calibri"/>
                <w:b/>
                <w:bCs/>
                <w:color w:val="000000"/>
                <w:sz w:val="16"/>
                <w:szCs w:val="16"/>
                <w:lang w:val="es-CO"/>
              </w:rPr>
              <w:br/>
              <w:t>(años mínimos)</w:t>
            </w:r>
          </w:p>
        </w:tc>
        <w:tc>
          <w:tcPr>
            <w:tcW w:w="734" w:type="pct"/>
            <w:tcBorders>
              <w:top w:val="single" w:sz="4" w:space="0" w:color="auto"/>
              <w:left w:val="nil"/>
              <w:bottom w:val="single" w:sz="4" w:space="0" w:color="auto"/>
              <w:right w:val="single" w:sz="4" w:space="0" w:color="auto"/>
            </w:tcBorders>
            <w:shd w:val="clear" w:color="000000" w:fill="D0CECE"/>
            <w:vAlign w:val="center"/>
            <w:hideMark/>
          </w:tcPr>
          <w:p w14:paraId="3B6294D8" w14:textId="77777777" w:rsidR="009B229C" w:rsidRPr="009B229C" w:rsidRDefault="009B229C" w:rsidP="009B229C">
            <w:pPr>
              <w:widowControl/>
              <w:jc w:val="center"/>
              <w:rPr>
                <w:rFonts w:ascii="Verdana" w:hAnsi="Verdana" w:cs="Calibri"/>
                <w:b/>
                <w:bCs/>
                <w:color w:val="000000"/>
                <w:sz w:val="16"/>
                <w:szCs w:val="16"/>
                <w:lang w:val="es-CO"/>
              </w:rPr>
            </w:pPr>
            <w:r w:rsidRPr="009B229C">
              <w:rPr>
                <w:rFonts w:ascii="Verdana" w:hAnsi="Verdana" w:cs="Calibri"/>
                <w:b/>
                <w:bCs/>
                <w:color w:val="000000"/>
                <w:sz w:val="16"/>
                <w:szCs w:val="16"/>
                <w:lang w:val="es-CO"/>
              </w:rPr>
              <w:t>Experiencia Específica</w:t>
            </w:r>
            <w:r w:rsidRPr="009B229C">
              <w:rPr>
                <w:rFonts w:ascii="Verdana" w:hAnsi="Verdana" w:cs="Calibri"/>
                <w:b/>
                <w:bCs/>
                <w:color w:val="000000"/>
                <w:sz w:val="16"/>
                <w:szCs w:val="16"/>
                <w:lang w:val="es-CO"/>
              </w:rPr>
              <w:br/>
              <w:t>(años mínimos)</w:t>
            </w:r>
          </w:p>
        </w:tc>
      </w:tr>
      <w:tr w:rsidR="009B229C" w:rsidRPr="009B229C" w14:paraId="57C31BF6" w14:textId="77777777" w:rsidTr="009B229C">
        <w:trPr>
          <w:trHeight w:val="2238"/>
        </w:trPr>
        <w:tc>
          <w:tcPr>
            <w:tcW w:w="835" w:type="pct"/>
            <w:tcBorders>
              <w:top w:val="nil"/>
              <w:left w:val="single" w:sz="4" w:space="0" w:color="auto"/>
              <w:bottom w:val="single" w:sz="4" w:space="0" w:color="auto"/>
              <w:right w:val="single" w:sz="4" w:space="0" w:color="auto"/>
            </w:tcBorders>
            <w:shd w:val="clear" w:color="auto" w:fill="auto"/>
            <w:vAlign w:val="center"/>
            <w:hideMark/>
          </w:tcPr>
          <w:p w14:paraId="0377C046" w14:textId="77777777" w:rsidR="009B229C" w:rsidRPr="009B229C" w:rsidRDefault="009B229C" w:rsidP="009B229C">
            <w:pPr>
              <w:widowControl/>
              <w:jc w:val="both"/>
              <w:rPr>
                <w:rFonts w:ascii="Verdana" w:hAnsi="Verdana" w:cs="Calibri"/>
                <w:b/>
                <w:bCs/>
                <w:color w:val="000000"/>
                <w:sz w:val="16"/>
                <w:szCs w:val="16"/>
                <w:lang w:val="es-CO"/>
              </w:rPr>
            </w:pPr>
            <w:r w:rsidRPr="009B229C">
              <w:rPr>
                <w:rFonts w:ascii="Verdana" w:hAnsi="Verdana" w:cs="Calibri"/>
                <w:b/>
                <w:bCs/>
                <w:color w:val="000000"/>
                <w:sz w:val="16"/>
                <w:szCs w:val="16"/>
                <w:lang w:val="es-CO"/>
              </w:rPr>
              <w:t>Director de Interventoría</w:t>
            </w:r>
            <w:r w:rsidRPr="009B229C">
              <w:rPr>
                <w:rFonts w:ascii="Verdana" w:hAnsi="Verdana" w:cs="Calibri"/>
                <w:color w:val="000000"/>
                <w:sz w:val="16"/>
                <w:szCs w:val="16"/>
                <w:lang w:val="es-CO"/>
              </w:rPr>
              <w:t xml:space="preserve"> </w:t>
            </w:r>
          </w:p>
        </w:tc>
        <w:tc>
          <w:tcPr>
            <w:tcW w:w="717" w:type="pct"/>
            <w:tcBorders>
              <w:top w:val="nil"/>
              <w:left w:val="nil"/>
              <w:bottom w:val="single" w:sz="4" w:space="0" w:color="auto"/>
              <w:right w:val="single" w:sz="4" w:space="0" w:color="auto"/>
            </w:tcBorders>
            <w:shd w:val="clear" w:color="auto" w:fill="auto"/>
            <w:vAlign w:val="center"/>
            <w:hideMark/>
          </w:tcPr>
          <w:p w14:paraId="2417EBF6" w14:textId="58A999F8" w:rsidR="009B229C" w:rsidRPr="009B229C" w:rsidRDefault="009B229C" w:rsidP="009B229C">
            <w:pPr>
              <w:widowControl/>
              <w:jc w:val="both"/>
              <w:rPr>
                <w:rFonts w:ascii="Verdana" w:hAnsi="Verdana" w:cs="Calibri"/>
                <w:color w:val="000000"/>
                <w:sz w:val="16"/>
                <w:szCs w:val="16"/>
                <w:lang w:val="es-CO"/>
              </w:rPr>
            </w:pPr>
            <w:r w:rsidRPr="009B229C">
              <w:rPr>
                <w:rFonts w:ascii="Verdana" w:hAnsi="Verdana" w:cs="Calibri"/>
                <w:color w:val="000000"/>
                <w:sz w:val="16"/>
                <w:szCs w:val="16"/>
                <w:lang w:val="es-CO"/>
              </w:rPr>
              <w:t xml:space="preserve">Título profesional entre alguna de las siguientes </w:t>
            </w:r>
            <w:r>
              <w:rPr>
                <w:rFonts w:ascii="Verdana" w:hAnsi="Verdana" w:cs="Calibri"/>
                <w:color w:val="000000"/>
                <w:sz w:val="16"/>
                <w:szCs w:val="16"/>
                <w:lang w:val="es-CO"/>
              </w:rPr>
              <w:t>Ingeniero Civil o arquitecto</w:t>
            </w:r>
          </w:p>
        </w:tc>
        <w:tc>
          <w:tcPr>
            <w:tcW w:w="1981" w:type="pct"/>
            <w:tcBorders>
              <w:top w:val="nil"/>
              <w:left w:val="nil"/>
              <w:bottom w:val="single" w:sz="4" w:space="0" w:color="auto"/>
              <w:right w:val="single" w:sz="4" w:space="0" w:color="auto"/>
            </w:tcBorders>
            <w:shd w:val="clear" w:color="auto" w:fill="auto"/>
            <w:vAlign w:val="center"/>
            <w:hideMark/>
          </w:tcPr>
          <w:p w14:paraId="44C40E7D" w14:textId="735B7BBC" w:rsidR="009B229C" w:rsidRPr="009B229C" w:rsidRDefault="009B229C" w:rsidP="009B229C">
            <w:pPr>
              <w:widowControl/>
              <w:jc w:val="both"/>
              <w:rPr>
                <w:rFonts w:ascii="Verdana" w:hAnsi="Verdana" w:cs="Calibri"/>
                <w:color w:val="000000"/>
                <w:sz w:val="16"/>
                <w:szCs w:val="16"/>
                <w:lang w:val="es-CO"/>
              </w:rPr>
            </w:pPr>
            <w:r w:rsidRPr="009B229C">
              <w:rPr>
                <w:rFonts w:ascii="Verdana" w:hAnsi="Verdana" w:cs="Calibri"/>
                <w:color w:val="000000"/>
                <w:sz w:val="16"/>
                <w:szCs w:val="16"/>
                <w:lang w:val="es-CO"/>
              </w:rPr>
              <w:t xml:space="preserve">Posgrado entre alguna de las siguientes alternativas: </w:t>
            </w:r>
            <w:r w:rsidRPr="009B229C">
              <w:rPr>
                <w:rFonts w:ascii="Verdana" w:hAnsi="Verdana" w:cs="Calibri"/>
                <w:sz w:val="16"/>
                <w:szCs w:val="16"/>
                <w:lang w:val="es-CO"/>
              </w:rPr>
              <w:t>posgrado en Gerencia de Proyectos</w:t>
            </w:r>
            <w:r>
              <w:rPr>
                <w:rFonts w:ascii="Verdana" w:hAnsi="Verdana" w:cs="Calibri"/>
                <w:color w:val="FF0000"/>
                <w:sz w:val="16"/>
                <w:szCs w:val="16"/>
                <w:lang w:val="es-CO"/>
              </w:rPr>
              <w:t>.</w:t>
            </w:r>
            <w:r w:rsidRPr="009B229C">
              <w:rPr>
                <w:rFonts w:ascii="Verdana" w:hAnsi="Verdana" w:cs="Calibri"/>
                <w:color w:val="000000"/>
                <w:sz w:val="16"/>
                <w:szCs w:val="16"/>
                <w:lang w:val="es-CO"/>
              </w:rPr>
              <w:br/>
            </w:r>
            <w:r w:rsidRPr="009B229C">
              <w:rPr>
                <w:rFonts w:ascii="Verdana" w:hAnsi="Verdana" w:cs="Calibri"/>
                <w:color w:val="000000"/>
                <w:sz w:val="16"/>
                <w:szCs w:val="16"/>
                <w:lang w:val="es-CO"/>
              </w:rPr>
              <w:br/>
            </w:r>
            <w:r w:rsidRPr="009B229C">
              <w:rPr>
                <w:rFonts w:ascii="Verdana" w:hAnsi="Verdana" w:cs="Calibri"/>
                <w:b/>
                <w:bCs/>
                <w:color w:val="000000"/>
                <w:sz w:val="16"/>
                <w:szCs w:val="16"/>
                <w:lang w:val="es-CO"/>
              </w:rPr>
              <w:t xml:space="preserve">Nota 1: </w:t>
            </w:r>
            <w:r w:rsidRPr="009B229C">
              <w:rPr>
                <w:rFonts w:ascii="Verdana" w:hAnsi="Verdana" w:cs="Calibri"/>
                <w:color w:val="000000"/>
                <w:sz w:val="16"/>
                <w:szCs w:val="16"/>
                <w:lang w:val="es-CO"/>
              </w:rPr>
              <w:t>En caso de no requerir título de posgrado, indicar "</w:t>
            </w:r>
            <w:proofErr w:type="spellStart"/>
            <w:r w:rsidRPr="009B229C">
              <w:rPr>
                <w:rFonts w:ascii="Verdana" w:hAnsi="Verdana" w:cs="Calibri"/>
                <w:color w:val="000000"/>
                <w:sz w:val="16"/>
                <w:szCs w:val="16"/>
                <w:lang w:val="es-CO"/>
              </w:rPr>
              <w:t>N.A</w:t>
            </w:r>
            <w:proofErr w:type="spellEnd"/>
            <w:r w:rsidRPr="009B229C">
              <w:rPr>
                <w:rFonts w:ascii="Verdana" w:hAnsi="Verdana" w:cs="Calibri"/>
                <w:color w:val="000000"/>
                <w:sz w:val="16"/>
                <w:szCs w:val="16"/>
                <w:lang w:val="es-CO"/>
              </w:rPr>
              <w:t>."</w:t>
            </w:r>
            <w:r w:rsidRPr="009B229C">
              <w:rPr>
                <w:rFonts w:ascii="Verdana" w:hAnsi="Verdana" w:cs="Calibri"/>
                <w:color w:val="000000"/>
                <w:sz w:val="16"/>
                <w:szCs w:val="16"/>
                <w:lang w:val="es-CO"/>
              </w:rPr>
              <w:br/>
            </w:r>
            <w:r w:rsidRPr="009B229C">
              <w:rPr>
                <w:rFonts w:ascii="Verdana" w:hAnsi="Verdana" w:cs="Calibri"/>
                <w:color w:val="000000"/>
                <w:sz w:val="16"/>
                <w:szCs w:val="16"/>
                <w:lang w:val="es-CO"/>
              </w:rPr>
              <w:br/>
            </w:r>
            <w:r w:rsidRPr="009B229C">
              <w:rPr>
                <w:rFonts w:ascii="Verdana" w:hAnsi="Verdana" w:cs="Calibri"/>
                <w:b/>
                <w:bCs/>
                <w:color w:val="000000"/>
                <w:sz w:val="16"/>
                <w:szCs w:val="16"/>
                <w:lang w:val="es-CO"/>
              </w:rPr>
              <w:t xml:space="preserve">Nota 2: </w:t>
            </w:r>
            <w:r w:rsidRPr="009B229C">
              <w:rPr>
                <w:rFonts w:ascii="Verdana" w:hAnsi="Verdana" w:cs="Calibri"/>
                <w:color w:val="000000"/>
                <w:sz w:val="16"/>
                <w:szCs w:val="16"/>
                <w:lang w:val="es-CO"/>
              </w:rPr>
              <w:t xml:space="preserve">No se aceptarán estudios de tipo: diplomado, curso, seminario como un estudio de posgrado. </w:t>
            </w:r>
          </w:p>
        </w:tc>
        <w:tc>
          <w:tcPr>
            <w:tcW w:w="734" w:type="pct"/>
            <w:tcBorders>
              <w:top w:val="nil"/>
              <w:left w:val="nil"/>
              <w:bottom w:val="single" w:sz="4" w:space="0" w:color="auto"/>
              <w:right w:val="single" w:sz="4" w:space="0" w:color="auto"/>
            </w:tcBorders>
            <w:shd w:val="clear" w:color="auto" w:fill="auto"/>
            <w:noWrap/>
            <w:vAlign w:val="center"/>
            <w:hideMark/>
          </w:tcPr>
          <w:p w14:paraId="546582BF" w14:textId="77777777" w:rsidR="009B229C" w:rsidRPr="009B229C" w:rsidRDefault="009B229C" w:rsidP="009B229C">
            <w:pPr>
              <w:widowControl/>
              <w:jc w:val="center"/>
              <w:rPr>
                <w:rFonts w:ascii="Verdana" w:hAnsi="Verdana" w:cs="Calibri"/>
                <w:sz w:val="16"/>
                <w:szCs w:val="16"/>
                <w:lang w:val="es-CO"/>
              </w:rPr>
            </w:pPr>
            <w:r w:rsidRPr="009B229C">
              <w:rPr>
                <w:rFonts w:ascii="Verdana" w:hAnsi="Verdana" w:cs="Calibri"/>
                <w:sz w:val="16"/>
                <w:szCs w:val="16"/>
                <w:lang w:val="es-CO"/>
              </w:rPr>
              <w:t>8 años</w:t>
            </w:r>
          </w:p>
        </w:tc>
        <w:tc>
          <w:tcPr>
            <w:tcW w:w="734" w:type="pct"/>
            <w:tcBorders>
              <w:top w:val="nil"/>
              <w:left w:val="nil"/>
              <w:bottom w:val="single" w:sz="4" w:space="0" w:color="auto"/>
              <w:right w:val="single" w:sz="4" w:space="0" w:color="auto"/>
            </w:tcBorders>
            <w:shd w:val="clear" w:color="auto" w:fill="auto"/>
            <w:noWrap/>
            <w:vAlign w:val="center"/>
            <w:hideMark/>
          </w:tcPr>
          <w:p w14:paraId="5555CDC0" w14:textId="77777777" w:rsidR="009B229C" w:rsidRPr="009B229C" w:rsidRDefault="009B229C" w:rsidP="009B229C">
            <w:pPr>
              <w:widowControl/>
              <w:jc w:val="center"/>
              <w:rPr>
                <w:rFonts w:ascii="Verdana" w:hAnsi="Verdana" w:cs="Calibri"/>
                <w:sz w:val="16"/>
                <w:szCs w:val="16"/>
                <w:lang w:val="es-CO"/>
              </w:rPr>
            </w:pPr>
            <w:r w:rsidRPr="009B229C">
              <w:rPr>
                <w:rFonts w:ascii="Verdana" w:hAnsi="Verdana" w:cs="Calibri"/>
                <w:sz w:val="16"/>
                <w:szCs w:val="16"/>
                <w:lang w:val="es-CO"/>
              </w:rPr>
              <w:t>4 años</w:t>
            </w:r>
          </w:p>
        </w:tc>
      </w:tr>
    </w:tbl>
    <w:p w14:paraId="2EDE53F3" w14:textId="77777777" w:rsidR="009B229C" w:rsidRDefault="009B229C" w:rsidP="00C04C4B">
      <w:pPr>
        <w:jc w:val="both"/>
        <w:rPr>
          <w:rFonts w:ascii="Garamond" w:hAnsi="Garamond" w:cs="Arial"/>
          <w:highlight w:val="lightGray"/>
        </w:rPr>
      </w:pPr>
    </w:p>
    <w:p w14:paraId="6FCC659E" w14:textId="77777777" w:rsidR="00C04C4B" w:rsidRPr="00C04C4B" w:rsidRDefault="00C04C4B" w:rsidP="00C04C4B">
      <w:pPr>
        <w:jc w:val="both"/>
        <w:rPr>
          <w:rFonts w:ascii="Garamond" w:hAnsi="Garamond" w:cs="Arial"/>
        </w:rPr>
      </w:pPr>
    </w:p>
    <w:p w14:paraId="0F63480D" w14:textId="77777777" w:rsidR="00C04C4B" w:rsidRPr="00C04C4B" w:rsidRDefault="00C04C4B" w:rsidP="00C04C4B">
      <w:pPr>
        <w:jc w:val="both"/>
        <w:rPr>
          <w:rFonts w:ascii="Garamond" w:eastAsia="Arial" w:hAnsi="Garamond" w:cs="Arial"/>
        </w:rPr>
      </w:pPr>
      <w:bookmarkStart w:id="407" w:name="_Toc508648276"/>
      <w:bookmarkStart w:id="408" w:name="_Toc508984060"/>
      <w:bookmarkStart w:id="409" w:name="_Toc509843891"/>
      <w:bookmarkStart w:id="410" w:name="_Toc511924799"/>
      <w:bookmarkStart w:id="411" w:name="_Toc517187335"/>
      <w:bookmarkStart w:id="412" w:name="_Toc520226888"/>
      <w:bookmarkStart w:id="413" w:name="_Toc520297858"/>
      <w:bookmarkStart w:id="414" w:name="_Toc520317123"/>
      <w:bookmarkStart w:id="415" w:name="_Toc533083726"/>
      <w:bookmarkStart w:id="416" w:name="_Toc35616135"/>
      <w:bookmarkStart w:id="417" w:name="_Toc35616395"/>
      <w:bookmarkStart w:id="418" w:name="_Toc36979687"/>
      <w:bookmarkStart w:id="419" w:name="_Toc40113355"/>
      <w:bookmarkEnd w:id="387"/>
      <w:bookmarkEnd w:id="388"/>
      <w:r w:rsidRPr="00C04C4B">
        <w:rPr>
          <w:rFonts w:ascii="Garamond" w:eastAsia="Arial" w:hAnsi="Garamond" w:cs="Arial"/>
        </w:rPr>
        <w:t>Las condiciones de formación académica y experiencia de los perfiles del personal integrante del equipo de trabajo denominado Personal Clave Evaluable se encuentran en el “Anexo 1 – Anexo Técnico” del Proceso de Contratación, las cuales serán verificadas [la Entidad definirá si la verificación del Personal Clave Evaluable será un requisito de ejecución del contrato o para otro momento que la Entidad disponga con posterioridad a la celebración del contrato, lo cual deberá mencionar claramente],  de acuerdo con las reglas establecidas en el Pliego de Condiciones, particularmente, en el numeral “10.2. Acreditación de experiencia y formación académica del equipo de trabajo y del Personal Clave Evaluable”.</w:t>
      </w:r>
    </w:p>
    <w:p w14:paraId="6ECFD2B1" w14:textId="77777777" w:rsidR="00C04C4B" w:rsidRPr="00C04C4B" w:rsidRDefault="00C04C4B" w:rsidP="00C04C4B">
      <w:pPr>
        <w:jc w:val="both"/>
        <w:rPr>
          <w:rFonts w:ascii="Garamond" w:eastAsia="Arial" w:hAnsi="Garamond" w:cs="Arial"/>
        </w:rPr>
      </w:pPr>
      <w:r w:rsidRPr="00C04C4B">
        <w:rPr>
          <w:rFonts w:ascii="Garamond" w:eastAsia="Arial" w:hAnsi="Garamond" w:cs="Arial"/>
        </w:rPr>
        <w:t xml:space="preserve"> </w:t>
      </w:r>
    </w:p>
    <w:p w14:paraId="35D2C471" w14:textId="77777777" w:rsidR="00C04C4B" w:rsidRPr="00C04C4B" w:rsidRDefault="00C04C4B" w:rsidP="00C04C4B">
      <w:pPr>
        <w:jc w:val="both"/>
        <w:rPr>
          <w:rFonts w:ascii="Garamond" w:eastAsia="Arial" w:hAnsi="Garamond" w:cs="Arial"/>
        </w:rPr>
      </w:pPr>
      <w:r w:rsidRPr="00C04C4B">
        <w:rPr>
          <w:rFonts w:ascii="Garamond" w:eastAsia="Arial" w:hAnsi="Garamond" w:cs="Arial"/>
          <w:b/>
          <w:bCs/>
        </w:rPr>
        <w:t>Nota 7:</w:t>
      </w:r>
      <w:r w:rsidRPr="00C04C4B">
        <w:rPr>
          <w:rFonts w:ascii="Garamond" w:eastAsia="Arial" w:hAnsi="Garamond" w:cs="Arial"/>
        </w:rPr>
        <w:t xml:space="preserve"> El Proponente en la etapa de selección no deberá allegar con su propuesta documentos soporte, hojas de vida, ni certificaciones de los profesionales y del equipo de trabajo que considerará para el futuro contrato, ya que serán verificados con posterioridad a la celebración del contrato.</w:t>
      </w:r>
    </w:p>
    <w:p w14:paraId="71C6EB81" w14:textId="77777777" w:rsidR="00C04C4B" w:rsidRPr="00C04C4B" w:rsidRDefault="00C04C4B" w:rsidP="00C04C4B">
      <w:pPr>
        <w:jc w:val="both"/>
        <w:rPr>
          <w:rFonts w:ascii="Garamond" w:hAnsi="Garamond"/>
        </w:rPr>
      </w:pPr>
      <w:r w:rsidRPr="00C04C4B">
        <w:rPr>
          <w:rFonts w:ascii="Garamond" w:hAnsi="Garamond"/>
        </w:rPr>
        <w:t xml:space="preserve"> </w:t>
      </w:r>
    </w:p>
    <w:p w14:paraId="7745A680" w14:textId="77777777" w:rsidR="00C04C4B" w:rsidRPr="00C04C4B" w:rsidRDefault="00C04C4B" w:rsidP="00C04C4B">
      <w:pPr>
        <w:spacing w:after="160"/>
        <w:jc w:val="both"/>
        <w:rPr>
          <w:rFonts w:ascii="Garamond" w:eastAsia="Arial" w:hAnsi="Garamond" w:cs="Arial"/>
        </w:rPr>
      </w:pPr>
      <w:r w:rsidRPr="00C04C4B">
        <w:rPr>
          <w:rFonts w:ascii="Garamond" w:eastAsia="Arial" w:hAnsi="Garamond" w:cs="Arial"/>
          <w:b/>
          <w:bCs/>
        </w:rPr>
        <w:t>Nota 8:</w:t>
      </w:r>
      <w:r w:rsidRPr="00C04C4B">
        <w:rPr>
          <w:rFonts w:ascii="Garamond" w:eastAsia="Arial" w:hAnsi="Garamond" w:cs="Arial"/>
        </w:rPr>
        <w:t xml:space="preserve"> Los documentos aportados en el presente acápite podrán tenerse en cuenta para demostrar el cumplimiento de los criterios de evaluación y asignación de puntaje, sin perjuicio de las reglas de subsanación dispuestas en el numeral 1.6. del Pliego de Condiciones.   </w:t>
      </w:r>
    </w:p>
    <w:p w14:paraId="46117968" w14:textId="431880F3" w:rsidR="00C04C4B" w:rsidRPr="00C04C4B" w:rsidRDefault="00C04C4B" w:rsidP="00A23238">
      <w:pPr>
        <w:pStyle w:val="Capitulo1"/>
        <w:numPr>
          <w:ilvl w:val="1"/>
          <w:numId w:val="54"/>
        </w:numPr>
        <w:tabs>
          <w:tab w:val="left" w:pos="851"/>
        </w:tabs>
        <w:spacing w:line="240" w:lineRule="auto"/>
        <w:jc w:val="both"/>
        <w:rPr>
          <w:rFonts w:ascii="Garamond" w:eastAsia="Arial" w:hAnsi="Garamond"/>
          <w:color w:val="auto"/>
          <w:sz w:val="22"/>
          <w:szCs w:val="22"/>
        </w:rPr>
      </w:pPr>
      <w:bookmarkStart w:id="420" w:name="_Toc108082921"/>
      <w:bookmarkStart w:id="421" w:name="_Toc215132451"/>
      <w:r w:rsidRPr="00C04C4B">
        <w:rPr>
          <w:rFonts w:ascii="Garamond" w:eastAsia="Arial" w:hAnsi="Garamond"/>
          <w:color w:val="auto"/>
          <w:sz w:val="22"/>
          <w:szCs w:val="22"/>
        </w:rPr>
        <w:t>CRITERIOS DE EVALUACIÓN, ASIGNACIÓN DE PUNTAJE</w:t>
      </w:r>
      <w:bookmarkEnd w:id="407"/>
      <w:bookmarkEnd w:id="408"/>
      <w:bookmarkEnd w:id="409"/>
      <w:bookmarkEnd w:id="410"/>
      <w:r w:rsidRPr="00C04C4B">
        <w:rPr>
          <w:rFonts w:ascii="Garamond" w:eastAsia="Arial" w:hAnsi="Garamond"/>
          <w:color w:val="auto"/>
          <w:sz w:val="22"/>
          <w:szCs w:val="22"/>
        </w:rPr>
        <w:t xml:space="preserve"> Y CRITERIOS DE DESEMPATE</w:t>
      </w:r>
      <w:bookmarkEnd w:id="411"/>
      <w:bookmarkEnd w:id="412"/>
      <w:bookmarkEnd w:id="413"/>
      <w:bookmarkEnd w:id="414"/>
      <w:bookmarkEnd w:id="415"/>
      <w:bookmarkEnd w:id="416"/>
      <w:bookmarkEnd w:id="417"/>
      <w:bookmarkEnd w:id="418"/>
      <w:bookmarkEnd w:id="419"/>
      <w:bookmarkEnd w:id="420"/>
      <w:bookmarkEnd w:id="421"/>
      <w:r w:rsidRPr="00C04C4B">
        <w:rPr>
          <w:rFonts w:ascii="Garamond" w:eastAsia="Arial" w:hAnsi="Garamond"/>
          <w:color w:val="auto"/>
          <w:sz w:val="22"/>
          <w:szCs w:val="22"/>
        </w:rPr>
        <w:t xml:space="preserve"> </w:t>
      </w:r>
    </w:p>
    <w:p w14:paraId="276B5CD4" w14:textId="77777777" w:rsidR="00C04C4B" w:rsidRPr="00C04C4B" w:rsidRDefault="00C04C4B" w:rsidP="00C04C4B">
      <w:pPr>
        <w:autoSpaceDE w:val="0"/>
        <w:autoSpaceDN w:val="0"/>
        <w:adjustRightInd w:val="0"/>
        <w:spacing w:before="120" w:after="240"/>
        <w:jc w:val="both"/>
        <w:rPr>
          <w:rFonts w:ascii="Garamond" w:eastAsia="Arial,Times New Roman" w:hAnsi="Garamond" w:cs="Arial"/>
          <w:lang w:eastAsia="es-ES"/>
        </w:rPr>
      </w:pPr>
      <w:r w:rsidRPr="00C04C4B">
        <w:rPr>
          <w:rFonts w:ascii="Garamond" w:hAnsi="Garamond" w:cs="Arial"/>
          <w:lang w:eastAsia="es-ES"/>
        </w:rPr>
        <w:t>La</w:t>
      </w:r>
      <w:r w:rsidRPr="00C04C4B">
        <w:rPr>
          <w:rFonts w:ascii="Garamond" w:eastAsia="Arial,Times New Roman" w:hAnsi="Garamond" w:cs="Arial"/>
          <w:lang w:eastAsia="es-ES"/>
        </w:rPr>
        <w:t xml:space="preserve"> </w:t>
      </w:r>
      <w:r w:rsidRPr="00C04C4B">
        <w:rPr>
          <w:rFonts w:ascii="Garamond" w:hAnsi="Garamond" w:cs="Arial"/>
          <w:lang w:eastAsia="es-ES"/>
        </w:rPr>
        <w:t>Entidad</w:t>
      </w:r>
      <w:r w:rsidRPr="00C04C4B">
        <w:rPr>
          <w:rFonts w:ascii="Garamond" w:eastAsia="Arial,Times New Roman" w:hAnsi="Garamond" w:cs="Arial"/>
          <w:lang w:eastAsia="es-ES"/>
        </w:rPr>
        <w:t xml:space="preserve"> </w:t>
      </w:r>
      <w:r w:rsidRPr="00C04C4B">
        <w:rPr>
          <w:rFonts w:ascii="Garamond" w:hAnsi="Garamond" w:cs="Arial"/>
          <w:lang w:eastAsia="es-ES"/>
        </w:rPr>
        <w:t>calificará</w:t>
      </w:r>
      <w:r w:rsidRPr="00C04C4B">
        <w:rPr>
          <w:rFonts w:ascii="Garamond" w:eastAsia="Arial,Times New Roman" w:hAnsi="Garamond" w:cs="Arial"/>
          <w:lang w:eastAsia="es-ES"/>
        </w:rPr>
        <w:t xml:space="preserve"> </w:t>
      </w:r>
      <w:r w:rsidRPr="00C04C4B">
        <w:rPr>
          <w:rFonts w:ascii="Garamond" w:hAnsi="Garamond" w:cs="Arial"/>
          <w:lang w:eastAsia="es-ES"/>
        </w:rPr>
        <w:t>las</w:t>
      </w:r>
      <w:r w:rsidRPr="00C04C4B">
        <w:rPr>
          <w:rFonts w:ascii="Garamond" w:eastAsia="Arial,Times New Roman" w:hAnsi="Garamond" w:cs="Arial"/>
          <w:lang w:eastAsia="es-ES"/>
        </w:rPr>
        <w:t xml:space="preserve"> </w:t>
      </w:r>
      <w:r w:rsidRPr="00C04C4B">
        <w:rPr>
          <w:rFonts w:ascii="Garamond" w:hAnsi="Garamond" w:cs="Arial"/>
          <w:lang w:eastAsia="es-ES"/>
        </w:rPr>
        <w:t>ofertas</w:t>
      </w:r>
      <w:r w:rsidRPr="00C04C4B">
        <w:rPr>
          <w:rFonts w:ascii="Garamond" w:eastAsia="Arial,Times New Roman" w:hAnsi="Garamond" w:cs="Arial"/>
          <w:lang w:eastAsia="es-ES"/>
        </w:rPr>
        <w:t xml:space="preserve"> </w:t>
      </w:r>
      <w:r w:rsidRPr="00C04C4B">
        <w:rPr>
          <w:rFonts w:ascii="Garamond" w:hAnsi="Garamond" w:cs="Arial"/>
          <w:lang w:eastAsia="es-ES"/>
        </w:rPr>
        <w:t>que</w:t>
      </w:r>
      <w:r w:rsidRPr="00C04C4B">
        <w:rPr>
          <w:rFonts w:ascii="Garamond" w:eastAsia="Arial,Times New Roman" w:hAnsi="Garamond" w:cs="Arial"/>
          <w:lang w:eastAsia="es-ES"/>
        </w:rPr>
        <w:t xml:space="preserve"> </w:t>
      </w:r>
      <w:r w:rsidRPr="00C04C4B">
        <w:rPr>
          <w:rFonts w:ascii="Garamond" w:hAnsi="Garamond" w:cs="Arial"/>
          <w:lang w:eastAsia="es-ES"/>
        </w:rPr>
        <w:t>hayan</w:t>
      </w:r>
      <w:r w:rsidRPr="00C04C4B">
        <w:rPr>
          <w:rFonts w:ascii="Garamond" w:eastAsia="Arial,Times New Roman" w:hAnsi="Garamond" w:cs="Arial"/>
          <w:lang w:eastAsia="es-ES"/>
        </w:rPr>
        <w:t xml:space="preserve"> </w:t>
      </w:r>
      <w:r w:rsidRPr="00C04C4B">
        <w:rPr>
          <w:rFonts w:ascii="Garamond" w:hAnsi="Garamond" w:cs="Arial"/>
          <w:lang w:eastAsia="es-ES"/>
        </w:rPr>
        <w:t>cumplido</w:t>
      </w:r>
      <w:r w:rsidRPr="00C04C4B">
        <w:rPr>
          <w:rFonts w:ascii="Garamond" w:eastAsia="Arial,Times New Roman" w:hAnsi="Garamond" w:cs="Arial"/>
          <w:lang w:eastAsia="es-ES"/>
        </w:rPr>
        <w:t xml:space="preserve"> </w:t>
      </w:r>
      <w:r w:rsidRPr="00C04C4B">
        <w:rPr>
          <w:rFonts w:ascii="Garamond" w:hAnsi="Garamond" w:cs="Arial"/>
          <w:lang w:eastAsia="es-ES"/>
        </w:rPr>
        <w:t>los</w:t>
      </w:r>
      <w:r w:rsidRPr="00C04C4B">
        <w:rPr>
          <w:rFonts w:ascii="Garamond" w:eastAsia="Arial,Times New Roman" w:hAnsi="Garamond" w:cs="Arial"/>
          <w:lang w:eastAsia="es-ES"/>
        </w:rPr>
        <w:t xml:space="preserve"> </w:t>
      </w:r>
      <w:r w:rsidRPr="00C04C4B">
        <w:rPr>
          <w:rFonts w:ascii="Garamond" w:hAnsi="Garamond" w:cs="Arial"/>
          <w:lang w:eastAsia="es-ES"/>
        </w:rPr>
        <w:t>requisitos</w:t>
      </w:r>
      <w:r w:rsidRPr="00C04C4B">
        <w:rPr>
          <w:rFonts w:ascii="Garamond" w:eastAsia="Arial,Times New Roman" w:hAnsi="Garamond" w:cs="Arial"/>
          <w:lang w:eastAsia="es-ES"/>
        </w:rPr>
        <w:t xml:space="preserve"> </w:t>
      </w:r>
      <w:r w:rsidRPr="00C04C4B">
        <w:rPr>
          <w:rFonts w:ascii="Garamond" w:hAnsi="Garamond" w:cs="Arial"/>
          <w:lang w:eastAsia="es-ES"/>
        </w:rPr>
        <w:t>habilitantes</w:t>
      </w:r>
      <w:r w:rsidRPr="00C04C4B">
        <w:rPr>
          <w:rFonts w:ascii="Garamond" w:eastAsia="Arial,Times New Roman" w:hAnsi="Garamond" w:cs="Arial"/>
          <w:lang w:eastAsia="es-ES"/>
        </w:rPr>
        <w:t xml:space="preserve"> </w:t>
      </w:r>
      <w:r w:rsidRPr="00C04C4B">
        <w:rPr>
          <w:rFonts w:ascii="Garamond" w:hAnsi="Garamond" w:cs="Arial"/>
          <w:lang w:eastAsia="es-ES"/>
        </w:rPr>
        <w:t>con</w:t>
      </w:r>
      <w:r w:rsidRPr="00C04C4B">
        <w:rPr>
          <w:rFonts w:ascii="Garamond" w:eastAsia="Arial,Times New Roman" w:hAnsi="Garamond" w:cs="Arial"/>
          <w:lang w:eastAsia="es-ES"/>
        </w:rPr>
        <w:t xml:space="preserve"> </w:t>
      </w:r>
      <w:r w:rsidRPr="00C04C4B">
        <w:rPr>
          <w:rFonts w:ascii="Garamond" w:hAnsi="Garamond" w:cs="Arial"/>
          <w:lang w:eastAsia="es-ES"/>
        </w:rPr>
        <w:t>los</w:t>
      </w:r>
      <w:r w:rsidRPr="00C04C4B">
        <w:rPr>
          <w:rFonts w:ascii="Garamond" w:eastAsia="Arial,Times New Roman" w:hAnsi="Garamond" w:cs="Arial"/>
          <w:lang w:eastAsia="es-ES"/>
        </w:rPr>
        <w:t xml:space="preserve"> </w:t>
      </w:r>
      <w:r w:rsidRPr="00C04C4B">
        <w:rPr>
          <w:rFonts w:ascii="Garamond" w:hAnsi="Garamond" w:cs="Arial"/>
          <w:lang w:eastAsia="es-ES"/>
        </w:rPr>
        <w:t>siguientes</w:t>
      </w:r>
      <w:r w:rsidRPr="00C04C4B">
        <w:rPr>
          <w:rFonts w:ascii="Garamond" w:eastAsia="Arial,Times New Roman" w:hAnsi="Garamond" w:cs="Arial"/>
          <w:lang w:eastAsia="es-ES"/>
        </w:rPr>
        <w:t xml:space="preserve"> </w:t>
      </w:r>
      <w:r w:rsidRPr="00C04C4B">
        <w:rPr>
          <w:rFonts w:ascii="Garamond" w:hAnsi="Garamond" w:cs="Arial"/>
          <w:lang w:eastAsia="es-ES"/>
        </w:rPr>
        <w:t>criterios de evaluación y puntaje:</w:t>
      </w:r>
    </w:p>
    <w:tbl>
      <w:tblPr>
        <w:tblStyle w:val="Tablaconcuadrcula"/>
        <w:tblW w:w="0" w:type="auto"/>
        <w:jc w:val="center"/>
        <w:tblLayout w:type="fixed"/>
        <w:tblLook w:val="04A0" w:firstRow="1" w:lastRow="0" w:firstColumn="1" w:lastColumn="0" w:noHBand="0" w:noVBand="1"/>
      </w:tblPr>
      <w:tblGrid>
        <w:gridCol w:w="5085"/>
        <w:gridCol w:w="1410"/>
      </w:tblGrid>
      <w:tr w:rsidR="00C04C4B" w:rsidRPr="00C04C4B" w14:paraId="0DEED59F" w14:textId="77777777" w:rsidTr="00CE73D4">
        <w:trPr>
          <w:trHeight w:val="648"/>
          <w:tblHeader/>
          <w:jc w:val="center"/>
        </w:trPr>
        <w:tc>
          <w:tcPr>
            <w:tcW w:w="5085" w:type="dxa"/>
            <w:tcBorders>
              <w:top w:val="double" w:sz="4" w:space="0" w:color="auto"/>
              <w:left w:val="double" w:sz="4" w:space="0" w:color="auto"/>
              <w:bottom w:val="single" w:sz="8" w:space="0" w:color="auto"/>
              <w:right w:val="single" w:sz="8" w:space="0" w:color="auto"/>
            </w:tcBorders>
            <w:shd w:val="clear" w:color="auto" w:fill="404040" w:themeFill="text1" w:themeFillTint="BF"/>
            <w:vAlign w:val="center"/>
          </w:tcPr>
          <w:p w14:paraId="5CD506E2" w14:textId="77777777" w:rsidR="00C04C4B" w:rsidRPr="00C04C4B" w:rsidRDefault="00C04C4B" w:rsidP="00CE73D4">
            <w:pPr>
              <w:jc w:val="center"/>
              <w:rPr>
                <w:rFonts w:ascii="Garamond" w:eastAsia="Arial" w:hAnsi="Garamond" w:cs="Arial"/>
                <w:b/>
                <w:bCs/>
                <w:color w:val="FFFFFF" w:themeColor="background1"/>
                <w:sz w:val="22"/>
                <w:szCs w:val="22"/>
                <w:lang w:val="es"/>
              </w:rPr>
            </w:pPr>
            <w:r w:rsidRPr="00C04C4B">
              <w:rPr>
                <w:rFonts w:ascii="Garamond" w:eastAsia="Arial" w:hAnsi="Garamond" w:cs="Arial"/>
                <w:b/>
                <w:bCs/>
                <w:color w:val="FFFFFF" w:themeColor="background1"/>
                <w:sz w:val="22"/>
                <w:szCs w:val="22"/>
                <w:lang w:val="es"/>
              </w:rPr>
              <w:lastRenderedPageBreak/>
              <w:t>Concepto</w:t>
            </w:r>
          </w:p>
        </w:tc>
        <w:tc>
          <w:tcPr>
            <w:tcW w:w="1410" w:type="dxa"/>
            <w:tcBorders>
              <w:top w:val="double" w:sz="4" w:space="0" w:color="auto"/>
              <w:left w:val="single" w:sz="8" w:space="0" w:color="auto"/>
              <w:bottom w:val="single" w:sz="8" w:space="0" w:color="auto"/>
              <w:right w:val="double" w:sz="4" w:space="0" w:color="auto"/>
            </w:tcBorders>
            <w:shd w:val="clear" w:color="auto" w:fill="404040" w:themeFill="text1" w:themeFillTint="BF"/>
            <w:vAlign w:val="center"/>
          </w:tcPr>
          <w:p w14:paraId="7375EC15" w14:textId="77777777" w:rsidR="00C04C4B" w:rsidRPr="00C04C4B" w:rsidRDefault="00C04C4B" w:rsidP="00CE73D4">
            <w:pPr>
              <w:jc w:val="center"/>
              <w:rPr>
                <w:rFonts w:ascii="Garamond" w:eastAsia="Arial" w:hAnsi="Garamond" w:cs="Arial"/>
                <w:b/>
                <w:bCs/>
                <w:color w:val="FFFFFF" w:themeColor="background1"/>
                <w:sz w:val="22"/>
                <w:szCs w:val="22"/>
                <w:lang w:val="es"/>
              </w:rPr>
            </w:pPr>
            <w:r w:rsidRPr="00C04C4B">
              <w:rPr>
                <w:rFonts w:ascii="Garamond" w:eastAsia="Arial" w:hAnsi="Garamond" w:cs="Arial"/>
                <w:b/>
                <w:bCs/>
                <w:color w:val="FFFFFF" w:themeColor="background1"/>
                <w:sz w:val="22"/>
                <w:szCs w:val="22"/>
                <w:lang w:val="es"/>
              </w:rPr>
              <w:t>Puntaje máximo</w:t>
            </w:r>
          </w:p>
        </w:tc>
      </w:tr>
      <w:tr w:rsidR="00C04C4B" w:rsidRPr="00C04C4B" w14:paraId="413DFBB6" w14:textId="77777777" w:rsidTr="00CE73D4">
        <w:trPr>
          <w:trHeight w:val="345"/>
          <w:jc w:val="center"/>
        </w:trPr>
        <w:tc>
          <w:tcPr>
            <w:tcW w:w="5085" w:type="dxa"/>
            <w:tcBorders>
              <w:top w:val="single" w:sz="8" w:space="0" w:color="auto"/>
              <w:left w:val="double" w:sz="4" w:space="0" w:color="auto"/>
              <w:bottom w:val="single" w:sz="8" w:space="0" w:color="auto"/>
              <w:right w:val="single" w:sz="8" w:space="0" w:color="auto"/>
            </w:tcBorders>
            <w:vAlign w:val="center"/>
          </w:tcPr>
          <w:p w14:paraId="1E85EF22" w14:textId="77777777" w:rsidR="00C04C4B" w:rsidRPr="00C04C4B" w:rsidRDefault="00C04C4B" w:rsidP="00CE73D4">
            <w:pPr>
              <w:tabs>
                <w:tab w:val="left" w:pos="1039"/>
              </w:tabs>
              <w:jc w:val="center"/>
              <w:rPr>
                <w:rFonts w:ascii="Garamond" w:eastAsia="Arial" w:hAnsi="Garamond" w:cs="Arial"/>
                <w:sz w:val="22"/>
                <w:szCs w:val="22"/>
                <w:lang w:val="es"/>
              </w:rPr>
            </w:pPr>
            <w:r w:rsidRPr="00C04C4B">
              <w:rPr>
                <w:rFonts w:ascii="Garamond" w:eastAsia="Arial" w:hAnsi="Garamond" w:cs="Arial"/>
                <w:sz w:val="22"/>
                <w:szCs w:val="22"/>
                <w:lang w:val="es"/>
              </w:rPr>
              <w:t>Experiencia del Proponente</w:t>
            </w:r>
          </w:p>
        </w:tc>
        <w:tc>
          <w:tcPr>
            <w:tcW w:w="1410" w:type="dxa"/>
            <w:tcBorders>
              <w:top w:val="single" w:sz="8" w:space="0" w:color="auto"/>
              <w:left w:val="single" w:sz="8" w:space="0" w:color="auto"/>
              <w:bottom w:val="single" w:sz="8" w:space="0" w:color="auto"/>
              <w:right w:val="double" w:sz="4" w:space="0" w:color="auto"/>
            </w:tcBorders>
            <w:vAlign w:val="center"/>
          </w:tcPr>
          <w:p w14:paraId="1333B1F0" w14:textId="77777777" w:rsidR="00C04C4B" w:rsidRPr="00C04C4B" w:rsidRDefault="00C04C4B" w:rsidP="00CE73D4">
            <w:pPr>
              <w:jc w:val="center"/>
              <w:rPr>
                <w:rFonts w:ascii="Garamond" w:eastAsia="Arial" w:hAnsi="Garamond" w:cs="Arial"/>
                <w:sz w:val="22"/>
                <w:szCs w:val="22"/>
                <w:lang w:val="es"/>
              </w:rPr>
            </w:pPr>
            <w:r w:rsidRPr="00C04C4B">
              <w:rPr>
                <w:rFonts w:ascii="Garamond" w:eastAsia="Arial" w:hAnsi="Garamond" w:cs="Arial"/>
                <w:sz w:val="22"/>
                <w:szCs w:val="22"/>
                <w:lang w:val="es"/>
              </w:rPr>
              <w:t>67,50</w:t>
            </w:r>
          </w:p>
        </w:tc>
      </w:tr>
      <w:tr w:rsidR="00C04C4B" w:rsidRPr="00C04C4B" w14:paraId="5116CCDF" w14:textId="77777777" w:rsidTr="00CE73D4">
        <w:trPr>
          <w:trHeight w:val="345"/>
          <w:jc w:val="center"/>
        </w:trPr>
        <w:tc>
          <w:tcPr>
            <w:tcW w:w="5085" w:type="dxa"/>
            <w:tcBorders>
              <w:top w:val="single" w:sz="8" w:space="0" w:color="auto"/>
              <w:left w:val="double" w:sz="4" w:space="0" w:color="auto"/>
              <w:bottom w:val="single" w:sz="8" w:space="0" w:color="auto"/>
              <w:right w:val="single" w:sz="8" w:space="0" w:color="auto"/>
            </w:tcBorders>
            <w:vAlign w:val="center"/>
          </w:tcPr>
          <w:p w14:paraId="01EE3F73" w14:textId="77777777" w:rsidR="00C04C4B" w:rsidRPr="00C04C4B" w:rsidRDefault="00C04C4B" w:rsidP="00CE73D4">
            <w:pPr>
              <w:tabs>
                <w:tab w:val="left" w:pos="1039"/>
              </w:tabs>
              <w:jc w:val="center"/>
              <w:rPr>
                <w:rFonts w:ascii="Garamond" w:eastAsia="Arial" w:hAnsi="Garamond" w:cs="Arial"/>
                <w:sz w:val="22"/>
                <w:szCs w:val="22"/>
                <w:lang w:val="es"/>
              </w:rPr>
            </w:pPr>
            <w:r w:rsidRPr="00C04C4B">
              <w:rPr>
                <w:rFonts w:ascii="Garamond" w:eastAsia="Arial" w:hAnsi="Garamond" w:cs="Arial"/>
                <w:sz w:val="22"/>
                <w:szCs w:val="22"/>
                <w:lang w:val="es"/>
              </w:rPr>
              <w:t>Equipo de trabajo (Personal Clave Evaluable)</w:t>
            </w:r>
          </w:p>
        </w:tc>
        <w:tc>
          <w:tcPr>
            <w:tcW w:w="1410" w:type="dxa"/>
            <w:tcBorders>
              <w:top w:val="single" w:sz="8" w:space="0" w:color="auto"/>
              <w:left w:val="single" w:sz="8" w:space="0" w:color="auto"/>
              <w:bottom w:val="single" w:sz="8" w:space="0" w:color="auto"/>
              <w:right w:val="double" w:sz="4" w:space="0" w:color="auto"/>
            </w:tcBorders>
            <w:vAlign w:val="center"/>
          </w:tcPr>
          <w:p w14:paraId="2C04D973" w14:textId="77777777" w:rsidR="00C04C4B" w:rsidRPr="00C04C4B" w:rsidRDefault="00C04C4B" w:rsidP="00CE73D4">
            <w:pPr>
              <w:jc w:val="center"/>
              <w:rPr>
                <w:rFonts w:ascii="Garamond" w:eastAsia="Arial" w:hAnsi="Garamond" w:cs="Arial"/>
                <w:sz w:val="22"/>
                <w:szCs w:val="22"/>
                <w:lang w:val="es"/>
              </w:rPr>
            </w:pPr>
            <w:r w:rsidRPr="00C04C4B">
              <w:rPr>
                <w:rFonts w:ascii="Garamond" w:eastAsia="Arial" w:hAnsi="Garamond" w:cs="Arial"/>
                <w:sz w:val="22"/>
                <w:szCs w:val="22"/>
                <w:lang w:val="es"/>
              </w:rPr>
              <w:t>10</w:t>
            </w:r>
          </w:p>
        </w:tc>
      </w:tr>
      <w:tr w:rsidR="00C04C4B" w:rsidRPr="00C04C4B" w14:paraId="3C3DDCB2" w14:textId="77777777" w:rsidTr="00CE73D4">
        <w:trPr>
          <w:trHeight w:val="345"/>
          <w:jc w:val="center"/>
        </w:trPr>
        <w:tc>
          <w:tcPr>
            <w:tcW w:w="5085" w:type="dxa"/>
            <w:tcBorders>
              <w:top w:val="single" w:sz="8" w:space="0" w:color="auto"/>
              <w:left w:val="double" w:sz="4" w:space="0" w:color="auto"/>
              <w:bottom w:val="single" w:sz="8" w:space="0" w:color="auto"/>
              <w:right w:val="single" w:sz="8" w:space="0" w:color="auto"/>
            </w:tcBorders>
            <w:vAlign w:val="center"/>
          </w:tcPr>
          <w:p w14:paraId="72BE6B6A" w14:textId="77777777" w:rsidR="00C04C4B" w:rsidRPr="00C04C4B" w:rsidRDefault="00C04C4B" w:rsidP="00CE73D4">
            <w:pPr>
              <w:tabs>
                <w:tab w:val="left" w:pos="1039"/>
              </w:tabs>
              <w:jc w:val="center"/>
              <w:rPr>
                <w:rFonts w:ascii="Garamond" w:eastAsia="Arial" w:hAnsi="Garamond" w:cs="Arial"/>
                <w:sz w:val="22"/>
                <w:szCs w:val="22"/>
                <w:lang w:val="es"/>
              </w:rPr>
            </w:pPr>
            <w:r w:rsidRPr="00C04C4B">
              <w:rPr>
                <w:rFonts w:ascii="Garamond" w:eastAsia="Arial" w:hAnsi="Garamond" w:cs="Arial"/>
                <w:sz w:val="22"/>
                <w:szCs w:val="22"/>
                <w:lang w:val="es"/>
              </w:rPr>
              <w:t>Factor de sostenibilidad</w:t>
            </w:r>
          </w:p>
        </w:tc>
        <w:tc>
          <w:tcPr>
            <w:tcW w:w="1410" w:type="dxa"/>
            <w:tcBorders>
              <w:top w:val="single" w:sz="8" w:space="0" w:color="auto"/>
              <w:left w:val="single" w:sz="8" w:space="0" w:color="auto"/>
              <w:bottom w:val="single" w:sz="8" w:space="0" w:color="auto"/>
              <w:right w:val="double" w:sz="4" w:space="0" w:color="auto"/>
            </w:tcBorders>
            <w:vAlign w:val="center"/>
          </w:tcPr>
          <w:p w14:paraId="0E2BAAA3" w14:textId="77777777" w:rsidR="00C04C4B" w:rsidRPr="00C04C4B" w:rsidRDefault="00C04C4B" w:rsidP="00CE73D4">
            <w:pPr>
              <w:jc w:val="center"/>
              <w:rPr>
                <w:rFonts w:ascii="Garamond" w:eastAsia="Arial" w:hAnsi="Garamond" w:cs="Arial"/>
                <w:sz w:val="22"/>
                <w:szCs w:val="22"/>
                <w:lang w:val="es"/>
              </w:rPr>
            </w:pPr>
            <w:r w:rsidRPr="00C04C4B">
              <w:rPr>
                <w:rFonts w:ascii="Garamond" w:eastAsia="Arial" w:hAnsi="Garamond" w:cs="Arial"/>
                <w:sz w:val="22"/>
                <w:szCs w:val="22"/>
                <w:lang w:val="es"/>
              </w:rPr>
              <w:t>1</w:t>
            </w:r>
          </w:p>
        </w:tc>
      </w:tr>
      <w:tr w:rsidR="00C04C4B" w:rsidRPr="00C04C4B" w14:paraId="7886E0D5" w14:textId="77777777" w:rsidTr="00CE73D4">
        <w:trPr>
          <w:trHeight w:val="345"/>
          <w:jc w:val="center"/>
        </w:trPr>
        <w:tc>
          <w:tcPr>
            <w:tcW w:w="5085" w:type="dxa"/>
            <w:tcBorders>
              <w:top w:val="single" w:sz="8" w:space="0" w:color="auto"/>
              <w:left w:val="double" w:sz="4" w:space="0" w:color="auto"/>
              <w:bottom w:val="single" w:sz="8" w:space="0" w:color="auto"/>
              <w:right w:val="single" w:sz="8" w:space="0" w:color="auto"/>
            </w:tcBorders>
            <w:vAlign w:val="center"/>
          </w:tcPr>
          <w:p w14:paraId="2C487C52" w14:textId="77777777" w:rsidR="00C04C4B" w:rsidRPr="00C04C4B" w:rsidRDefault="00C04C4B" w:rsidP="00CE73D4">
            <w:pPr>
              <w:tabs>
                <w:tab w:val="left" w:pos="1039"/>
              </w:tabs>
              <w:jc w:val="center"/>
              <w:rPr>
                <w:rFonts w:ascii="Garamond" w:eastAsia="Arial" w:hAnsi="Garamond" w:cs="Arial"/>
                <w:sz w:val="22"/>
                <w:szCs w:val="22"/>
                <w:lang w:val="es"/>
              </w:rPr>
            </w:pPr>
            <w:r w:rsidRPr="00C04C4B">
              <w:rPr>
                <w:rFonts w:ascii="Garamond" w:eastAsia="Arial" w:hAnsi="Garamond" w:cs="Arial"/>
                <w:sz w:val="22"/>
                <w:szCs w:val="22"/>
                <w:lang w:val="es"/>
              </w:rPr>
              <w:t>Apoyo a la industria nacional</w:t>
            </w:r>
          </w:p>
        </w:tc>
        <w:tc>
          <w:tcPr>
            <w:tcW w:w="1410" w:type="dxa"/>
            <w:tcBorders>
              <w:top w:val="single" w:sz="8" w:space="0" w:color="auto"/>
              <w:left w:val="single" w:sz="8" w:space="0" w:color="auto"/>
              <w:bottom w:val="single" w:sz="8" w:space="0" w:color="auto"/>
              <w:right w:val="double" w:sz="4" w:space="0" w:color="auto"/>
            </w:tcBorders>
            <w:vAlign w:val="center"/>
          </w:tcPr>
          <w:p w14:paraId="73D61F97" w14:textId="77777777" w:rsidR="00C04C4B" w:rsidRPr="00C04C4B" w:rsidRDefault="00C04C4B" w:rsidP="00CE73D4">
            <w:pPr>
              <w:jc w:val="center"/>
              <w:rPr>
                <w:rFonts w:ascii="Garamond" w:eastAsia="Arial" w:hAnsi="Garamond" w:cs="Arial"/>
                <w:sz w:val="22"/>
                <w:szCs w:val="22"/>
                <w:lang w:val="es"/>
              </w:rPr>
            </w:pPr>
            <w:r w:rsidRPr="00C04C4B">
              <w:rPr>
                <w:rFonts w:ascii="Garamond" w:eastAsia="Arial" w:hAnsi="Garamond" w:cs="Arial"/>
                <w:sz w:val="22"/>
                <w:szCs w:val="22"/>
                <w:lang w:val="es"/>
              </w:rPr>
              <w:t>20</w:t>
            </w:r>
          </w:p>
        </w:tc>
      </w:tr>
      <w:tr w:rsidR="00C04C4B" w:rsidRPr="00C04C4B" w14:paraId="3189CF0C" w14:textId="77777777" w:rsidTr="00CE73D4">
        <w:trPr>
          <w:trHeight w:val="345"/>
          <w:jc w:val="center"/>
        </w:trPr>
        <w:tc>
          <w:tcPr>
            <w:tcW w:w="5085" w:type="dxa"/>
            <w:tcBorders>
              <w:top w:val="single" w:sz="8" w:space="0" w:color="auto"/>
              <w:left w:val="double" w:sz="4" w:space="0" w:color="auto"/>
              <w:bottom w:val="single" w:sz="8" w:space="0" w:color="auto"/>
              <w:right w:val="single" w:sz="8" w:space="0" w:color="auto"/>
            </w:tcBorders>
            <w:vAlign w:val="center"/>
          </w:tcPr>
          <w:p w14:paraId="696C4AAE" w14:textId="77777777" w:rsidR="00C04C4B" w:rsidRPr="00C04C4B" w:rsidRDefault="00C04C4B" w:rsidP="00CE73D4">
            <w:pPr>
              <w:tabs>
                <w:tab w:val="left" w:pos="1039"/>
              </w:tabs>
              <w:jc w:val="center"/>
              <w:rPr>
                <w:rFonts w:ascii="Garamond" w:eastAsia="Arial" w:hAnsi="Garamond" w:cs="Arial"/>
                <w:sz w:val="22"/>
                <w:szCs w:val="22"/>
                <w:lang w:val="es"/>
              </w:rPr>
            </w:pPr>
            <w:r w:rsidRPr="00C04C4B">
              <w:rPr>
                <w:rFonts w:ascii="Garamond" w:eastAsia="Arial" w:hAnsi="Garamond" w:cs="Arial"/>
                <w:sz w:val="22"/>
                <w:szCs w:val="22"/>
                <w:lang w:val="es"/>
              </w:rPr>
              <w:t>Vinculación de personas con discapacidad</w:t>
            </w:r>
          </w:p>
        </w:tc>
        <w:tc>
          <w:tcPr>
            <w:tcW w:w="1410" w:type="dxa"/>
            <w:tcBorders>
              <w:top w:val="single" w:sz="8" w:space="0" w:color="auto"/>
              <w:left w:val="single" w:sz="8" w:space="0" w:color="auto"/>
              <w:bottom w:val="single" w:sz="8" w:space="0" w:color="auto"/>
              <w:right w:val="double" w:sz="4" w:space="0" w:color="auto"/>
            </w:tcBorders>
            <w:vAlign w:val="center"/>
          </w:tcPr>
          <w:p w14:paraId="7A79E66D" w14:textId="77777777" w:rsidR="00C04C4B" w:rsidRPr="00C04C4B" w:rsidRDefault="00C04C4B" w:rsidP="00CE73D4">
            <w:pPr>
              <w:jc w:val="center"/>
              <w:rPr>
                <w:rFonts w:ascii="Garamond" w:eastAsia="Arial" w:hAnsi="Garamond" w:cs="Arial"/>
                <w:sz w:val="22"/>
                <w:szCs w:val="22"/>
                <w:lang w:val="es"/>
              </w:rPr>
            </w:pPr>
            <w:r w:rsidRPr="00C04C4B">
              <w:rPr>
                <w:rFonts w:ascii="Garamond" w:eastAsia="Arial" w:hAnsi="Garamond" w:cs="Arial"/>
                <w:sz w:val="22"/>
                <w:szCs w:val="22"/>
                <w:lang w:val="es"/>
              </w:rPr>
              <w:t>1</w:t>
            </w:r>
          </w:p>
        </w:tc>
      </w:tr>
      <w:tr w:rsidR="00C04C4B" w:rsidRPr="00C04C4B" w14:paraId="30C7E238" w14:textId="77777777" w:rsidTr="00CE73D4">
        <w:trPr>
          <w:trHeight w:val="345"/>
          <w:jc w:val="center"/>
        </w:trPr>
        <w:tc>
          <w:tcPr>
            <w:tcW w:w="5085" w:type="dxa"/>
            <w:tcBorders>
              <w:top w:val="single" w:sz="8" w:space="0" w:color="auto"/>
              <w:left w:val="double" w:sz="4" w:space="0" w:color="auto"/>
              <w:bottom w:val="single" w:sz="8" w:space="0" w:color="auto"/>
              <w:right w:val="single" w:sz="8" w:space="0" w:color="auto"/>
            </w:tcBorders>
            <w:vAlign w:val="center"/>
          </w:tcPr>
          <w:p w14:paraId="0ED8C51F" w14:textId="77777777" w:rsidR="00C04C4B" w:rsidRPr="00C04C4B" w:rsidRDefault="00C04C4B" w:rsidP="00CE73D4">
            <w:pPr>
              <w:tabs>
                <w:tab w:val="left" w:pos="1039"/>
              </w:tabs>
              <w:jc w:val="center"/>
              <w:rPr>
                <w:rFonts w:ascii="Garamond" w:eastAsia="Arial" w:hAnsi="Garamond" w:cs="Arial"/>
                <w:sz w:val="22"/>
                <w:szCs w:val="22"/>
                <w:lang w:val="es"/>
              </w:rPr>
            </w:pPr>
            <w:r w:rsidRPr="00C04C4B">
              <w:rPr>
                <w:rFonts w:ascii="Garamond" w:eastAsia="Arial" w:hAnsi="Garamond" w:cs="Arial"/>
                <w:sz w:val="22"/>
                <w:szCs w:val="22"/>
                <w:lang w:val="es"/>
              </w:rPr>
              <w:t>Emprendimientos y empresas de mujeres</w:t>
            </w:r>
          </w:p>
        </w:tc>
        <w:tc>
          <w:tcPr>
            <w:tcW w:w="1410" w:type="dxa"/>
            <w:tcBorders>
              <w:top w:val="single" w:sz="8" w:space="0" w:color="auto"/>
              <w:left w:val="single" w:sz="8" w:space="0" w:color="auto"/>
              <w:bottom w:val="single" w:sz="8" w:space="0" w:color="auto"/>
              <w:right w:val="double" w:sz="4" w:space="0" w:color="auto"/>
            </w:tcBorders>
            <w:vAlign w:val="center"/>
          </w:tcPr>
          <w:p w14:paraId="2D0EEDDC" w14:textId="77777777" w:rsidR="00C04C4B" w:rsidRPr="00C04C4B" w:rsidRDefault="00C04C4B" w:rsidP="00CE73D4">
            <w:pPr>
              <w:jc w:val="center"/>
              <w:rPr>
                <w:rFonts w:ascii="Garamond" w:eastAsia="Arial" w:hAnsi="Garamond" w:cs="Arial"/>
                <w:sz w:val="22"/>
                <w:szCs w:val="22"/>
                <w:lang w:val="es"/>
              </w:rPr>
            </w:pPr>
            <w:r w:rsidRPr="00C04C4B">
              <w:rPr>
                <w:rFonts w:ascii="Garamond" w:eastAsia="Arial" w:hAnsi="Garamond" w:cs="Arial"/>
                <w:sz w:val="22"/>
                <w:szCs w:val="22"/>
                <w:lang w:val="es"/>
              </w:rPr>
              <w:t>0,25</w:t>
            </w:r>
          </w:p>
        </w:tc>
      </w:tr>
      <w:tr w:rsidR="00C04C4B" w:rsidRPr="00C04C4B" w14:paraId="243A725F" w14:textId="77777777" w:rsidTr="00CE73D4">
        <w:trPr>
          <w:trHeight w:val="345"/>
          <w:jc w:val="center"/>
        </w:trPr>
        <w:tc>
          <w:tcPr>
            <w:tcW w:w="5085" w:type="dxa"/>
            <w:tcBorders>
              <w:top w:val="single" w:sz="8" w:space="0" w:color="auto"/>
              <w:left w:val="double" w:sz="4" w:space="0" w:color="auto"/>
              <w:bottom w:val="single" w:sz="8" w:space="0" w:color="auto"/>
              <w:right w:val="single" w:sz="8" w:space="0" w:color="auto"/>
            </w:tcBorders>
            <w:vAlign w:val="center"/>
          </w:tcPr>
          <w:p w14:paraId="7F3E5B40" w14:textId="77777777" w:rsidR="00C04C4B" w:rsidRPr="00C04C4B" w:rsidRDefault="00C04C4B" w:rsidP="00CE73D4">
            <w:pPr>
              <w:tabs>
                <w:tab w:val="left" w:pos="1039"/>
              </w:tabs>
              <w:jc w:val="center"/>
              <w:rPr>
                <w:rFonts w:ascii="Garamond" w:eastAsia="Arial" w:hAnsi="Garamond" w:cs="Arial"/>
                <w:sz w:val="22"/>
                <w:szCs w:val="22"/>
                <w:lang w:val="es-ES"/>
              </w:rPr>
            </w:pPr>
            <w:proofErr w:type="spellStart"/>
            <w:r w:rsidRPr="00C04C4B">
              <w:rPr>
                <w:rFonts w:ascii="Garamond" w:eastAsia="Arial" w:hAnsi="Garamond" w:cs="Arial"/>
                <w:sz w:val="22"/>
                <w:szCs w:val="22"/>
                <w:lang w:val="es-ES"/>
              </w:rPr>
              <w:t>Mipyme</w:t>
            </w:r>
            <w:proofErr w:type="spellEnd"/>
          </w:p>
        </w:tc>
        <w:tc>
          <w:tcPr>
            <w:tcW w:w="1410" w:type="dxa"/>
            <w:tcBorders>
              <w:top w:val="single" w:sz="8" w:space="0" w:color="auto"/>
              <w:left w:val="single" w:sz="8" w:space="0" w:color="auto"/>
              <w:bottom w:val="single" w:sz="8" w:space="0" w:color="auto"/>
              <w:right w:val="double" w:sz="4" w:space="0" w:color="auto"/>
            </w:tcBorders>
            <w:vAlign w:val="center"/>
          </w:tcPr>
          <w:p w14:paraId="163FAF72" w14:textId="77777777" w:rsidR="00C04C4B" w:rsidRPr="00C04C4B" w:rsidRDefault="00C04C4B" w:rsidP="00CE73D4">
            <w:pPr>
              <w:jc w:val="center"/>
              <w:rPr>
                <w:rFonts w:ascii="Garamond" w:eastAsia="Arial" w:hAnsi="Garamond" w:cs="Arial"/>
                <w:sz w:val="22"/>
                <w:szCs w:val="22"/>
                <w:lang w:val="es"/>
              </w:rPr>
            </w:pPr>
            <w:r w:rsidRPr="00C04C4B">
              <w:rPr>
                <w:rFonts w:ascii="Garamond" w:eastAsia="Arial" w:hAnsi="Garamond" w:cs="Arial"/>
                <w:sz w:val="22"/>
                <w:szCs w:val="22"/>
                <w:lang w:val="es"/>
              </w:rPr>
              <w:t>0,25</w:t>
            </w:r>
          </w:p>
        </w:tc>
      </w:tr>
      <w:tr w:rsidR="00C04C4B" w:rsidRPr="00C04C4B" w14:paraId="6D7523F5" w14:textId="77777777" w:rsidTr="00CE73D4">
        <w:trPr>
          <w:trHeight w:val="345"/>
          <w:jc w:val="center"/>
        </w:trPr>
        <w:tc>
          <w:tcPr>
            <w:tcW w:w="5085" w:type="dxa"/>
            <w:tcBorders>
              <w:top w:val="single" w:sz="8" w:space="0" w:color="auto"/>
              <w:left w:val="double" w:sz="4" w:space="0" w:color="auto"/>
              <w:bottom w:val="single" w:sz="8" w:space="0" w:color="auto"/>
              <w:right w:val="single" w:sz="8" w:space="0" w:color="auto"/>
            </w:tcBorders>
            <w:vAlign w:val="center"/>
          </w:tcPr>
          <w:p w14:paraId="714264B3" w14:textId="77777777" w:rsidR="00C04C4B" w:rsidRPr="00C04C4B" w:rsidRDefault="00C04C4B" w:rsidP="00CE73D4">
            <w:pPr>
              <w:tabs>
                <w:tab w:val="left" w:pos="1039"/>
              </w:tabs>
              <w:jc w:val="center"/>
              <w:rPr>
                <w:rFonts w:ascii="Garamond" w:eastAsia="Arial" w:hAnsi="Garamond" w:cs="Arial"/>
                <w:sz w:val="22"/>
                <w:szCs w:val="22"/>
                <w:lang w:val="es"/>
              </w:rPr>
            </w:pPr>
            <w:r w:rsidRPr="00C04C4B">
              <w:rPr>
                <w:rFonts w:ascii="Garamond" w:eastAsia="Arial" w:hAnsi="Garamond" w:cs="Arial"/>
                <w:sz w:val="22"/>
                <w:szCs w:val="22"/>
                <w:lang w:val="es"/>
              </w:rPr>
              <w:t>Total</w:t>
            </w:r>
          </w:p>
        </w:tc>
        <w:tc>
          <w:tcPr>
            <w:tcW w:w="1410" w:type="dxa"/>
            <w:tcBorders>
              <w:top w:val="single" w:sz="8" w:space="0" w:color="auto"/>
              <w:left w:val="single" w:sz="8" w:space="0" w:color="auto"/>
              <w:bottom w:val="single" w:sz="8" w:space="0" w:color="auto"/>
              <w:right w:val="double" w:sz="4" w:space="0" w:color="auto"/>
            </w:tcBorders>
            <w:vAlign w:val="center"/>
          </w:tcPr>
          <w:p w14:paraId="1B1E1E17" w14:textId="77777777" w:rsidR="00C04C4B" w:rsidRPr="00C04C4B" w:rsidRDefault="00C04C4B" w:rsidP="00CE73D4">
            <w:pPr>
              <w:jc w:val="center"/>
              <w:rPr>
                <w:rFonts w:ascii="Garamond" w:eastAsia="Arial" w:hAnsi="Garamond" w:cs="Arial"/>
                <w:sz w:val="22"/>
                <w:szCs w:val="22"/>
                <w:lang w:val="es"/>
              </w:rPr>
            </w:pPr>
            <w:r w:rsidRPr="00C04C4B">
              <w:rPr>
                <w:rFonts w:ascii="Garamond" w:eastAsia="Arial" w:hAnsi="Garamond" w:cs="Arial"/>
                <w:sz w:val="22"/>
                <w:szCs w:val="22"/>
                <w:lang w:val="es"/>
              </w:rPr>
              <w:t>100</w:t>
            </w:r>
          </w:p>
        </w:tc>
      </w:tr>
    </w:tbl>
    <w:p w14:paraId="41F15268" w14:textId="77777777" w:rsidR="00C04C4B" w:rsidRPr="00C04C4B" w:rsidRDefault="00C04C4B" w:rsidP="00C04C4B">
      <w:pPr>
        <w:autoSpaceDE w:val="0"/>
        <w:autoSpaceDN w:val="0"/>
        <w:adjustRightInd w:val="0"/>
        <w:spacing w:before="120"/>
        <w:jc w:val="both"/>
        <w:rPr>
          <w:rFonts w:ascii="Garamond" w:eastAsia="Arial,Times New Roman" w:hAnsi="Garamond" w:cs="Arial"/>
          <w:lang w:eastAsia="es-ES"/>
        </w:rPr>
      </w:pPr>
    </w:p>
    <w:p w14:paraId="61F348E7" w14:textId="77777777" w:rsidR="00C04C4B" w:rsidRPr="00C04C4B" w:rsidRDefault="00C04C4B" w:rsidP="00C04C4B">
      <w:pPr>
        <w:jc w:val="both"/>
        <w:rPr>
          <w:rFonts w:ascii="Garamond" w:hAnsi="Garamond" w:cs="Arial"/>
          <w:lang w:eastAsia="es-ES"/>
        </w:rPr>
      </w:pPr>
      <w:bookmarkStart w:id="422" w:name="_Toc35616396"/>
      <w:r w:rsidRPr="00C04C4B">
        <w:rPr>
          <w:rFonts w:ascii="Garamond" w:hAnsi="Garamond" w:cs="Arial"/>
          <w:lang w:eastAsia="es-ES"/>
        </w:rPr>
        <w:t xml:space="preserve">En las convocatorias limitadas a </w:t>
      </w:r>
      <w:proofErr w:type="spellStart"/>
      <w:r w:rsidRPr="00C04C4B">
        <w:rPr>
          <w:rFonts w:ascii="Garamond" w:hAnsi="Garamond" w:cs="Arial"/>
          <w:lang w:eastAsia="es-ES"/>
        </w:rPr>
        <w:t>Mipyme</w:t>
      </w:r>
      <w:proofErr w:type="spellEnd"/>
      <w:r w:rsidRPr="00C04C4B">
        <w:rPr>
          <w:rFonts w:ascii="Garamond" w:hAnsi="Garamond" w:cs="Arial"/>
          <w:lang w:eastAsia="es-ES"/>
        </w:rPr>
        <w:t xml:space="preserve"> el puntaje por este concepto se trasladará al factor de evaluación de experiencia del Proponente. En este caso, el Pliego de Condiciones definitivo incluirá el siguiente cuadro: </w:t>
      </w:r>
    </w:p>
    <w:p w14:paraId="4D40C00D" w14:textId="77777777" w:rsidR="00C04C4B" w:rsidRPr="00C04C4B" w:rsidRDefault="00C04C4B" w:rsidP="00C04C4B">
      <w:pPr>
        <w:jc w:val="both"/>
        <w:rPr>
          <w:rFonts w:ascii="Garamond" w:hAnsi="Garamond" w:cs="Arial"/>
          <w:lang w:eastAsia="es-ES"/>
        </w:rPr>
      </w:pPr>
    </w:p>
    <w:p w14:paraId="48148F69" w14:textId="77777777" w:rsidR="00C04C4B" w:rsidRPr="00C04C4B" w:rsidRDefault="00C04C4B" w:rsidP="00C04C4B">
      <w:pPr>
        <w:jc w:val="both"/>
        <w:rPr>
          <w:rFonts w:ascii="Garamond" w:hAnsi="Garamond" w:cs="Arial"/>
          <w:lang w:eastAsia="es-ES"/>
        </w:rPr>
      </w:pPr>
      <w:r w:rsidRPr="00C04C4B">
        <w:rPr>
          <w:rFonts w:ascii="Garamond" w:hAnsi="Garamond" w:cs="Arial"/>
          <w:lang w:eastAsia="es-ES"/>
        </w:rPr>
        <w:t xml:space="preserve">La Entidad calificará las ofertas que hayan cumplido los requisitos habilitantes con los siguientes criterios de evaluación y puntaje: </w:t>
      </w:r>
    </w:p>
    <w:p w14:paraId="57CE7D12" w14:textId="77777777" w:rsidR="00C04C4B" w:rsidRPr="00C04C4B" w:rsidRDefault="00C04C4B" w:rsidP="00C04C4B">
      <w:pPr>
        <w:jc w:val="both"/>
        <w:rPr>
          <w:rFonts w:ascii="Garamond" w:hAnsi="Garamond" w:cs="Arial"/>
          <w:lang w:eastAsia="es-ES"/>
        </w:rPr>
      </w:pPr>
    </w:p>
    <w:tbl>
      <w:tblPr>
        <w:tblStyle w:val="Tablaconcuadrcula"/>
        <w:tblW w:w="7276" w:type="dxa"/>
        <w:jc w:val="center"/>
        <w:tblLook w:val="04A0" w:firstRow="1" w:lastRow="0" w:firstColumn="1" w:lastColumn="0" w:noHBand="0" w:noVBand="1"/>
      </w:tblPr>
      <w:tblGrid>
        <w:gridCol w:w="4096"/>
        <w:gridCol w:w="3180"/>
      </w:tblGrid>
      <w:tr w:rsidR="00C04C4B" w:rsidRPr="00C04C4B" w14:paraId="1388F849" w14:textId="77777777" w:rsidTr="00CE73D4">
        <w:trPr>
          <w:trHeight w:val="300"/>
          <w:tblHeader/>
          <w:jc w:val="center"/>
        </w:trPr>
        <w:tc>
          <w:tcPr>
            <w:tcW w:w="4096"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27A0F1C9" w14:textId="77777777" w:rsidR="00C04C4B" w:rsidRPr="00C04C4B" w:rsidRDefault="00C04C4B" w:rsidP="00CE73D4">
            <w:pPr>
              <w:ind w:left="567" w:right="624"/>
              <w:jc w:val="center"/>
              <w:rPr>
                <w:rFonts w:ascii="Garamond" w:hAnsi="Garamond" w:cs="Arial"/>
                <w:b/>
                <w:color w:val="FFFFFF" w:themeColor="background1"/>
                <w:sz w:val="22"/>
                <w:szCs w:val="22"/>
              </w:rPr>
            </w:pPr>
            <w:r w:rsidRPr="00C04C4B">
              <w:rPr>
                <w:rFonts w:ascii="Garamond" w:hAnsi="Garamond" w:cs="Arial"/>
                <w:b/>
                <w:color w:val="FFFFFF" w:themeColor="background1"/>
                <w:sz w:val="22"/>
                <w:szCs w:val="22"/>
              </w:rPr>
              <w:t>Concepto</w:t>
            </w:r>
          </w:p>
        </w:tc>
        <w:tc>
          <w:tcPr>
            <w:tcW w:w="3180"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6468621E" w14:textId="77777777" w:rsidR="00C04C4B" w:rsidRPr="00C04C4B" w:rsidRDefault="00C04C4B" w:rsidP="00CE73D4">
            <w:pPr>
              <w:ind w:left="567" w:right="624"/>
              <w:jc w:val="center"/>
              <w:rPr>
                <w:rFonts w:ascii="Garamond" w:hAnsi="Garamond" w:cs="Arial"/>
                <w:b/>
                <w:color w:val="FFFFFF" w:themeColor="background1"/>
                <w:sz w:val="22"/>
                <w:szCs w:val="22"/>
              </w:rPr>
            </w:pPr>
            <w:r w:rsidRPr="00C04C4B">
              <w:rPr>
                <w:rFonts w:ascii="Garamond" w:hAnsi="Garamond" w:cs="Arial"/>
                <w:b/>
                <w:color w:val="FFFFFF" w:themeColor="background1"/>
                <w:sz w:val="22"/>
                <w:szCs w:val="22"/>
              </w:rPr>
              <w:t>Puntaje máximo</w:t>
            </w:r>
          </w:p>
        </w:tc>
      </w:tr>
      <w:tr w:rsidR="00C04C4B" w:rsidRPr="00C04C4B" w14:paraId="1753D04D" w14:textId="77777777" w:rsidTr="00CE73D4">
        <w:trPr>
          <w:trHeight w:val="300"/>
          <w:jc w:val="center"/>
        </w:trPr>
        <w:tc>
          <w:tcPr>
            <w:tcW w:w="4096" w:type="dxa"/>
            <w:tcBorders>
              <w:top w:val="single" w:sz="4" w:space="0" w:color="auto"/>
              <w:left w:val="double" w:sz="4" w:space="0" w:color="auto"/>
              <w:bottom w:val="single" w:sz="4" w:space="0" w:color="auto"/>
              <w:right w:val="single" w:sz="4" w:space="0" w:color="auto"/>
            </w:tcBorders>
            <w:vAlign w:val="center"/>
            <w:hideMark/>
          </w:tcPr>
          <w:p w14:paraId="08A9C4C4" w14:textId="77777777" w:rsidR="00C04C4B" w:rsidRPr="00C04C4B" w:rsidRDefault="00C04C4B" w:rsidP="00CE73D4">
            <w:pPr>
              <w:ind w:left="164" w:right="624"/>
              <w:jc w:val="center"/>
              <w:rPr>
                <w:rFonts w:ascii="Garamond" w:hAnsi="Garamond" w:cs="Arial"/>
                <w:sz w:val="22"/>
                <w:szCs w:val="22"/>
              </w:rPr>
            </w:pPr>
            <w:r w:rsidRPr="00C04C4B">
              <w:rPr>
                <w:rFonts w:ascii="Garamond" w:hAnsi="Garamond" w:cs="Arial"/>
                <w:sz w:val="22"/>
                <w:szCs w:val="22"/>
              </w:rPr>
              <w:t>Experiencia del Proponente</w:t>
            </w:r>
          </w:p>
        </w:tc>
        <w:tc>
          <w:tcPr>
            <w:tcW w:w="3180" w:type="dxa"/>
            <w:tcBorders>
              <w:top w:val="single" w:sz="4" w:space="0" w:color="auto"/>
              <w:left w:val="single" w:sz="4" w:space="0" w:color="auto"/>
              <w:bottom w:val="single" w:sz="4" w:space="0" w:color="auto"/>
              <w:right w:val="double" w:sz="4" w:space="0" w:color="auto"/>
            </w:tcBorders>
            <w:vAlign w:val="center"/>
            <w:hideMark/>
          </w:tcPr>
          <w:p w14:paraId="73EE482D" w14:textId="77777777" w:rsidR="00C04C4B" w:rsidRPr="00C04C4B" w:rsidRDefault="00C04C4B" w:rsidP="00CE73D4">
            <w:pPr>
              <w:ind w:left="567" w:right="624"/>
              <w:jc w:val="center"/>
              <w:rPr>
                <w:rFonts w:ascii="Garamond" w:hAnsi="Garamond" w:cs="Arial"/>
                <w:sz w:val="22"/>
                <w:szCs w:val="22"/>
              </w:rPr>
            </w:pPr>
            <w:r w:rsidRPr="00C04C4B">
              <w:rPr>
                <w:rFonts w:ascii="Garamond" w:hAnsi="Garamond" w:cs="Arial"/>
                <w:sz w:val="22"/>
                <w:szCs w:val="22"/>
              </w:rPr>
              <w:t>67,75</w:t>
            </w:r>
          </w:p>
        </w:tc>
      </w:tr>
      <w:tr w:rsidR="00C04C4B" w:rsidRPr="00C04C4B" w14:paraId="0229ABEB" w14:textId="77777777" w:rsidTr="00CE73D4">
        <w:trPr>
          <w:trHeight w:val="300"/>
          <w:jc w:val="center"/>
        </w:trPr>
        <w:tc>
          <w:tcPr>
            <w:tcW w:w="4096" w:type="dxa"/>
            <w:tcBorders>
              <w:top w:val="single" w:sz="4" w:space="0" w:color="auto"/>
              <w:left w:val="double" w:sz="4" w:space="0" w:color="auto"/>
              <w:bottom w:val="single" w:sz="4" w:space="0" w:color="auto"/>
              <w:right w:val="single" w:sz="4" w:space="0" w:color="auto"/>
            </w:tcBorders>
            <w:vAlign w:val="center"/>
          </w:tcPr>
          <w:p w14:paraId="056AC775" w14:textId="77777777" w:rsidR="00C04C4B" w:rsidRPr="00C04C4B" w:rsidDel="00B463AB" w:rsidRDefault="00C04C4B" w:rsidP="00CE73D4">
            <w:pPr>
              <w:ind w:left="164" w:right="624"/>
              <w:jc w:val="center"/>
              <w:rPr>
                <w:rFonts w:ascii="Garamond" w:hAnsi="Garamond" w:cs="Arial"/>
                <w:sz w:val="22"/>
                <w:szCs w:val="22"/>
              </w:rPr>
            </w:pPr>
            <w:r w:rsidRPr="00C04C4B">
              <w:rPr>
                <w:rFonts w:ascii="Garamond" w:hAnsi="Garamond" w:cs="Arial"/>
                <w:sz w:val="22"/>
                <w:szCs w:val="22"/>
              </w:rPr>
              <w:t>Equipo de trabajo (Personal Clave Evaluable)</w:t>
            </w:r>
          </w:p>
        </w:tc>
        <w:tc>
          <w:tcPr>
            <w:tcW w:w="3180" w:type="dxa"/>
            <w:tcBorders>
              <w:top w:val="single" w:sz="4" w:space="0" w:color="auto"/>
              <w:left w:val="single" w:sz="4" w:space="0" w:color="auto"/>
              <w:bottom w:val="single" w:sz="4" w:space="0" w:color="auto"/>
              <w:right w:val="double" w:sz="4" w:space="0" w:color="auto"/>
            </w:tcBorders>
            <w:vAlign w:val="center"/>
          </w:tcPr>
          <w:p w14:paraId="6C7290CB" w14:textId="77777777" w:rsidR="00C04C4B" w:rsidRPr="00C04C4B" w:rsidRDefault="00C04C4B" w:rsidP="00CE73D4">
            <w:pPr>
              <w:ind w:left="567" w:right="624"/>
              <w:jc w:val="center"/>
              <w:rPr>
                <w:rFonts w:ascii="Garamond" w:hAnsi="Garamond" w:cs="Arial"/>
                <w:sz w:val="22"/>
                <w:szCs w:val="22"/>
              </w:rPr>
            </w:pPr>
            <w:r w:rsidRPr="00C04C4B">
              <w:rPr>
                <w:rFonts w:ascii="Garamond" w:hAnsi="Garamond" w:cs="Arial"/>
                <w:sz w:val="22"/>
                <w:szCs w:val="22"/>
              </w:rPr>
              <w:t>10</w:t>
            </w:r>
          </w:p>
        </w:tc>
      </w:tr>
      <w:tr w:rsidR="00C04C4B" w:rsidRPr="00C04C4B" w14:paraId="759834D8" w14:textId="77777777" w:rsidTr="00CE73D4">
        <w:trPr>
          <w:trHeight w:val="300"/>
          <w:jc w:val="center"/>
        </w:trPr>
        <w:tc>
          <w:tcPr>
            <w:tcW w:w="4096" w:type="dxa"/>
            <w:tcBorders>
              <w:top w:val="single" w:sz="4" w:space="0" w:color="auto"/>
              <w:left w:val="double" w:sz="4" w:space="0" w:color="auto"/>
              <w:bottom w:val="single" w:sz="4" w:space="0" w:color="auto"/>
              <w:right w:val="single" w:sz="4" w:space="0" w:color="auto"/>
            </w:tcBorders>
            <w:vAlign w:val="center"/>
          </w:tcPr>
          <w:p w14:paraId="13B506B4" w14:textId="77777777" w:rsidR="00C04C4B" w:rsidRPr="00C04C4B" w:rsidRDefault="00C04C4B" w:rsidP="00CE73D4">
            <w:pPr>
              <w:ind w:left="164" w:right="624"/>
              <w:jc w:val="center"/>
              <w:rPr>
                <w:rFonts w:ascii="Garamond" w:hAnsi="Garamond" w:cs="Arial"/>
                <w:sz w:val="22"/>
                <w:szCs w:val="22"/>
              </w:rPr>
            </w:pPr>
            <w:r w:rsidRPr="00C04C4B">
              <w:rPr>
                <w:rFonts w:ascii="Garamond" w:hAnsi="Garamond" w:cs="Arial"/>
                <w:sz w:val="22"/>
                <w:szCs w:val="22"/>
              </w:rPr>
              <w:t>Factor de sostenibilidad</w:t>
            </w:r>
          </w:p>
        </w:tc>
        <w:tc>
          <w:tcPr>
            <w:tcW w:w="3180" w:type="dxa"/>
            <w:tcBorders>
              <w:top w:val="single" w:sz="4" w:space="0" w:color="auto"/>
              <w:left w:val="single" w:sz="4" w:space="0" w:color="auto"/>
              <w:bottom w:val="single" w:sz="4" w:space="0" w:color="auto"/>
              <w:right w:val="double" w:sz="4" w:space="0" w:color="auto"/>
            </w:tcBorders>
            <w:vAlign w:val="center"/>
          </w:tcPr>
          <w:p w14:paraId="22CEE0F1" w14:textId="77777777" w:rsidR="00C04C4B" w:rsidRPr="00C04C4B" w:rsidRDefault="00C04C4B" w:rsidP="00CE73D4">
            <w:pPr>
              <w:ind w:left="567" w:right="624"/>
              <w:jc w:val="center"/>
              <w:rPr>
                <w:rFonts w:ascii="Garamond" w:hAnsi="Garamond" w:cs="Arial"/>
                <w:sz w:val="22"/>
                <w:szCs w:val="22"/>
              </w:rPr>
            </w:pPr>
            <w:r w:rsidRPr="00C04C4B">
              <w:rPr>
                <w:rFonts w:ascii="Garamond" w:hAnsi="Garamond" w:cs="Arial"/>
                <w:sz w:val="22"/>
                <w:szCs w:val="22"/>
              </w:rPr>
              <w:t>1</w:t>
            </w:r>
          </w:p>
        </w:tc>
      </w:tr>
      <w:tr w:rsidR="00C04C4B" w:rsidRPr="00C04C4B" w14:paraId="6D6F8305" w14:textId="77777777" w:rsidTr="00CE73D4">
        <w:trPr>
          <w:trHeight w:val="300"/>
          <w:jc w:val="center"/>
        </w:trPr>
        <w:tc>
          <w:tcPr>
            <w:tcW w:w="4096" w:type="dxa"/>
            <w:tcBorders>
              <w:top w:val="single" w:sz="4" w:space="0" w:color="auto"/>
              <w:left w:val="double" w:sz="4" w:space="0" w:color="auto"/>
              <w:bottom w:val="single" w:sz="4" w:space="0" w:color="auto"/>
              <w:right w:val="single" w:sz="4" w:space="0" w:color="auto"/>
            </w:tcBorders>
            <w:vAlign w:val="center"/>
          </w:tcPr>
          <w:p w14:paraId="6B30449E" w14:textId="77777777" w:rsidR="00C04C4B" w:rsidRPr="00C04C4B" w:rsidRDefault="00C04C4B" w:rsidP="00CE73D4">
            <w:pPr>
              <w:ind w:left="164" w:right="624"/>
              <w:jc w:val="center"/>
              <w:rPr>
                <w:rFonts w:ascii="Garamond" w:hAnsi="Garamond" w:cs="Arial"/>
                <w:sz w:val="22"/>
                <w:szCs w:val="22"/>
              </w:rPr>
            </w:pPr>
            <w:r w:rsidRPr="00C04C4B">
              <w:rPr>
                <w:rFonts w:ascii="Garamond" w:hAnsi="Garamond" w:cs="Arial"/>
                <w:sz w:val="22"/>
                <w:szCs w:val="22"/>
              </w:rPr>
              <w:t>Apoyo a la industria nacional</w:t>
            </w:r>
          </w:p>
        </w:tc>
        <w:tc>
          <w:tcPr>
            <w:tcW w:w="3180" w:type="dxa"/>
            <w:tcBorders>
              <w:top w:val="single" w:sz="4" w:space="0" w:color="auto"/>
              <w:left w:val="single" w:sz="4" w:space="0" w:color="auto"/>
              <w:bottom w:val="single" w:sz="4" w:space="0" w:color="auto"/>
              <w:right w:val="double" w:sz="4" w:space="0" w:color="auto"/>
            </w:tcBorders>
            <w:vAlign w:val="center"/>
          </w:tcPr>
          <w:p w14:paraId="35C54EDF" w14:textId="77777777" w:rsidR="00C04C4B" w:rsidRPr="00C04C4B" w:rsidRDefault="00C04C4B" w:rsidP="00CE73D4">
            <w:pPr>
              <w:ind w:left="567" w:right="624"/>
              <w:jc w:val="center"/>
              <w:rPr>
                <w:rFonts w:ascii="Garamond" w:hAnsi="Garamond" w:cs="Arial"/>
                <w:sz w:val="22"/>
                <w:szCs w:val="22"/>
              </w:rPr>
            </w:pPr>
            <w:r w:rsidRPr="00C04C4B">
              <w:rPr>
                <w:rFonts w:ascii="Garamond" w:hAnsi="Garamond" w:cs="Arial"/>
                <w:sz w:val="22"/>
                <w:szCs w:val="22"/>
              </w:rPr>
              <w:t>20</w:t>
            </w:r>
          </w:p>
        </w:tc>
      </w:tr>
      <w:tr w:rsidR="00C04C4B" w:rsidRPr="00C04C4B" w14:paraId="6B37F160" w14:textId="77777777" w:rsidTr="00CE73D4">
        <w:trPr>
          <w:trHeight w:val="300"/>
          <w:jc w:val="center"/>
        </w:trPr>
        <w:tc>
          <w:tcPr>
            <w:tcW w:w="4096" w:type="dxa"/>
            <w:tcBorders>
              <w:top w:val="single" w:sz="4" w:space="0" w:color="auto"/>
              <w:left w:val="double" w:sz="4" w:space="0" w:color="auto"/>
              <w:bottom w:val="single" w:sz="4" w:space="0" w:color="auto"/>
              <w:right w:val="single" w:sz="4" w:space="0" w:color="auto"/>
            </w:tcBorders>
            <w:vAlign w:val="center"/>
          </w:tcPr>
          <w:p w14:paraId="6A0257FE" w14:textId="77777777" w:rsidR="00C04C4B" w:rsidRPr="00C04C4B" w:rsidRDefault="00C04C4B" w:rsidP="00CE73D4">
            <w:pPr>
              <w:ind w:left="164" w:right="624"/>
              <w:jc w:val="center"/>
              <w:rPr>
                <w:rFonts w:ascii="Garamond" w:hAnsi="Garamond" w:cs="Arial"/>
                <w:sz w:val="22"/>
                <w:szCs w:val="22"/>
              </w:rPr>
            </w:pPr>
            <w:r w:rsidRPr="00C04C4B">
              <w:rPr>
                <w:rFonts w:ascii="Garamond" w:hAnsi="Garamond" w:cs="Arial"/>
                <w:sz w:val="22"/>
                <w:szCs w:val="22"/>
              </w:rPr>
              <w:t>Vinculación de personas con discapacidad</w:t>
            </w:r>
          </w:p>
        </w:tc>
        <w:tc>
          <w:tcPr>
            <w:tcW w:w="3180" w:type="dxa"/>
            <w:tcBorders>
              <w:top w:val="single" w:sz="4" w:space="0" w:color="auto"/>
              <w:left w:val="single" w:sz="4" w:space="0" w:color="auto"/>
              <w:bottom w:val="single" w:sz="4" w:space="0" w:color="auto"/>
              <w:right w:val="double" w:sz="4" w:space="0" w:color="auto"/>
            </w:tcBorders>
            <w:vAlign w:val="center"/>
          </w:tcPr>
          <w:p w14:paraId="76F68ACE" w14:textId="77777777" w:rsidR="00C04C4B" w:rsidRPr="00C04C4B" w:rsidRDefault="00C04C4B" w:rsidP="00CE73D4">
            <w:pPr>
              <w:ind w:left="567" w:right="624"/>
              <w:jc w:val="center"/>
              <w:rPr>
                <w:rFonts w:ascii="Garamond" w:hAnsi="Garamond" w:cs="Arial"/>
                <w:sz w:val="22"/>
                <w:szCs w:val="22"/>
              </w:rPr>
            </w:pPr>
            <w:r w:rsidRPr="00C04C4B">
              <w:rPr>
                <w:rFonts w:ascii="Garamond" w:hAnsi="Garamond" w:cs="Arial"/>
                <w:sz w:val="22"/>
                <w:szCs w:val="22"/>
              </w:rPr>
              <w:t>1</w:t>
            </w:r>
          </w:p>
        </w:tc>
      </w:tr>
      <w:tr w:rsidR="00C04C4B" w:rsidRPr="00C04C4B" w14:paraId="2D954A12" w14:textId="77777777" w:rsidTr="00CE73D4">
        <w:trPr>
          <w:trHeight w:val="300"/>
          <w:jc w:val="center"/>
        </w:trPr>
        <w:tc>
          <w:tcPr>
            <w:tcW w:w="4096" w:type="dxa"/>
            <w:tcBorders>
              <w:top w:val="single" w:sz="4" w:space="0" w:color="auto"/>
              <w:left w:val="double" w:sz="4" w:space="0" w:color="auto"/>
              <w:bottom w:val="single" w:sz="4" w:space="0" w:color="auto"/>
              <w:right w:val="single" w:sz="4" w:space="0" w:color="auto"/>
            </w:tcBorders>
            <w:vAlign w:val="center"/>
          </w:tcPr>
          <w:p w14:paraId="5C33E97B" w14:textId="77777777" w:rsidR="00C04C4B" w:rsidRPr="00C04C4B" w:rsidRDefault="00C04C4B" w:rsidP="00CE73D4">
            <w:pPr>
              <w:ind w:left="164" w:right="624"/>
              <w:jc w:val="center"/>
              <w:rPr>
                <w:rFonts w:ascii="Garamond" w:hAnsi="Garamond" w:cs="Arial"/>
                <w:sz w:val="22"/>
                <w:szCs w:val="22"/>
              </w:rPr>
            </w:pPr>
            <w:r w:rsidRPr="00C04C4B">
              <w:rPr>
                <w:rFonts w:ascii="Garamond" w:hAnsi="Garamond" w:cs="Arial"/>
                <w:sz w:val="22"/>
                <w:szCs w:val="22"/>
              </w:rPr>
              <w:t>Emprendimientos y empresas de mujeres</w:t>
            </w:r>
          </w:p>
        </w:tc>
        <w:tc>
          <w:tcPr>
            <w:tcW w:w="3180" w:type="dxa"/>
            <w:tcBorders>
              <w:top w:val="single" w:sz="4" w:space="0" w:color="auto"/>
              <w:left w:val="single" w:sz="4" w:space="0" w:color="auto"/>
              <w:bottom w:val="single" w:sz="4" w:space="0" w:color="auto"/>
              <w:right w:val="double" w:sz="4" w:space="0" w:color="auto"/>
            </w:tcBorders>
            <w:vAlign w:val="center"/>
          </w:tcPr>
          <w:p w14:paraId="4E910C64" w14:textId="77777777" w:rsidR="00C04C4B" w:rsidRPr="00C04C4B" w:rsidRDefault="00C04C4B" w:rsidP="00CE73D4">
            <w:pPr>
              <w:ind w:left="567" w:right="624"/>
              <w:jc w:val="center"/>
              <w:rPr>
                <w:rFonts w:ascii="Garamond" w:hAnsi="Garamond" w:cs="Arial"/>
                <w:sz w:val="22"/>
                <w:szCs w:val="22"/>
              </w:rPr>
            </w:pPr>
            <w:r w:rsidRPr="00C04C4B">
              <w:rPr>
                <w:rFonts w:ascii="Garamond" w:hAnsi="Garamond" w:cs="Arial"/>
                <w:sz w:val="22"/>
                <w:szCs w:val="22"/>
              </w:rPr>
              <w:t>0,25</w:t>
            </w:r>
          </w:p>
        </w:tc>
      </w:tr>
      <w:tr w:rsidR="00C04C4B" w:rsidRPr="00C04C4B" w14:paraId="42D1BF1F" w14:textId="77777777" w:rsidTr="00CE73D4">
        <w:trPr>
          <w:trHeight w:val="300"/>
          <w:jc w:val="center"/>
        </w:trPr>
        <w:tc>
          <w:tcPr>
            <w:tcW w:w="4096" w:type="dxa"/>
            <w:tcBorders>
              <w:top w:val="single" w:sz="4" w:space="0" w:color="auto"/>
              <w:left w:val="double" w:sz="4" w:space="0" w:color="auto"/>
              <w:bottom w:val="single" w:sz="4" w:space="0" w:color="auto"/>
              <w:right w:val="single" w:sz="4" w:space="0" w:color="auto"/>
            </w:tcBorders>
            <w:vAlign w:val="center"/>
          </w:tcPr>
          <w:p w14:paraId="5347640A" w14:textId="77777777" w:rsidR="00C04C4B" w:rsidRPr="00C04C4B" w:rsidRDefault="00C04C4B" w:rsidP="00CE73D4">
            <w:pPr>
              <w:ind w:left="164" w:right="624"/>
              <w:jc w:val="center"/>
              <w:rPr>
                <w:rFonts w:ascii="Garamond" w:hAnsi="Garamond" w:cs="Arial"/>
                <w:sz w:val="22"/>
                <w:szCs w:val="22"/>
              </w:rPr>
            </w:pPr>
            <w:r w:rsidRPr="00C04C4B">
              <w:rPr>
                <w:rFonts w:ascii="Garamond" w:hAnsi="Garamond" w:cs="Arial"/>
                <w:sz w:val="22"/>
                <w:szCs w:val="22"/>
              </w:rPr>
              <w:t>Total</w:t>
            </w:r>
          </w:p>
        </w:tc>
        <w:tc>
          <w:tcPr>
            <w:tcW w:w="3180" w:type="dxa"/>
            <w:tcBorders>
              <w:top w:val="single" w:sz="4" w:space="0" w:color="auto"/>
              <w:left w:val="single" w:sz="4" w:space="0" w:color="auto"/>
              <w:bottom w:val="single" w:sz="4" w:space="0" w:color="auto"/>
              <w:right w:val="double" w:sz="4" w:space="0" w:color="auto"/>
            </w:tcBorders>
            <w:vAlign w:val="center"/>
          </w:tcPr>
          <w:p w14:paraId="74D5A2C1" w14:textId="77777777" w:rsidR="00C04C4B" w:rsidRPr="00C04C4B" w:rsidRDefault="00C04C4B" w:rsidP="00CE73D4">
            <w:pPr>
              <w:ind w:left="567" w:right="624"/>
              <w:jc w:val="center"/>
              <w:rPr>
                <w:rFonts w:ascii="Garamond" w:hAnsi="Garamond" w:cs="Arial"/>
                <w:iCs/>
                <w:sz w:val="22"/>
                <w:szCs w:val="22"/>
              </w:rPr>
            </w:pPr>
            <w:r w:rsidRPr="00C04C4B">
              <w:rPr>
                <w:rFonts w:ascii="Garamond" w:hAnsi="Garamond" w:cs="Arial"/>
                <w:sz w:val="22"/>
                <w:szCs w:val="22"/>
              </w:rPr>
              <w:t>100</w:t>
            </w:r>
          </w:p>
        </w:tc>
      </w:tr>
    </w:tbl>
    <w:p w14:paraId="039DEF98" w14:textId="77777777" w:rsidR="00C04C4B" w:rsidRPr="00C04C4B" w:rsidRDefault="00C04C4B" w:rsidP="00C04C4B">
      <w:pPr>
        <w:jc w:val="both"/>
        <w:rPr>
          <w:rFonts w:ascii="Garamond" w:hAnsi="Garamond" w:cs="Arial"/>
          <w:lang w:eastAsia="es-ES"/>
        </w:rPr>
      </w:pPr>
    </w:p>
    <w:p w14:paraId="5CFD39D6" w14:textId="77777777" w:rsidR="00C04C4B" w:rsidRPr="00C04C4B" w:rsidRDefault="00C04C4B" w:rsidP="00C04C4B">
      <w:pPr>
        <w:jc w:val="both"/>
        <w:rPr>
          <w:rFonts w:ascii="Garamond" w:hAnsi="Garamond" w:cs="Arial"/>
          <w:lang w:eastAsia="es-ES"/>
        </w:rPr>
      </w:pPr>
      <w:r w:rsidRPr="00C04C4B">
        <w:rPr>
          <w:rFonts w:ascii="Garamond" w:hAnsi="Garamond" w:cs="Arial"/>
        </w:rPr>
        <w:t xml:space="preserve">Las Entidades deben consultar y analizar las anotaciones vigentes que reposen en el Registro Nacional de Obras Civiles Inconclusas de que trata la Ley 2020 de 2020. En el evento que las personas naturales o jurídicas, nacionales o extranjeras domiciliadas o con Sucursal en Colombia, o integrantes de Proponentes Plurales, cuenten con alguna anotación vigente de obra civil inconclusa en el mencionado registro, se descontará un (1) punto de la sumatoria obtenida en relación con los criterios de evaluación. </w:t>
      </w:r>
    </w:p>
    <w:p w14:paraId="79A0B99B" w14:textId="77777777" w:rsidR="00C04C4B" w:rsidRPr="00C04C4B" w:rsidRDefault="00C04C4B" w:rsidP="00C04C4B">
      <w:pPr>
        <w:jc w:val="both"/>
        <w:rPr>
          <w:rFonts w:ascii="Garamond" w:hAnsi="Garamond" w:cs="Arial"/>
          <w:lang w:eastAsia="es-ES"/>
        </w:rPr>
      </w:pPr>
    </w:p>
    <w:p w14:paraId="25FD5A9C" w14:textId="77777777" w:rsidR="00C04C4B" w:rsidRPr="00C04C4B" w:rsidRDefault="00C04C4B" w:rsidP="00C04C4B">
      <w:pPr>
        <w:pStyle w:val="InviasNormal"/>
        <w:spacing w:before="0" w:after="0"/>
        <w:jc w:val="both"/>
        <w:rPr>
          <w:rFonts w:ascii="Garamond" w:hAnsi="Garamond"/>
          <w:sz w:val="22"/>
          <w:szCs w:val="22"/>
        </w:rPr>
      </w:pPr>
      <w:r w:rsidRPr="00C04C4B">
        <w:rPr>
          <w:rFonts w:ascii="Garamond" w:hAnsi="Garamond" w:cs="Arial"/>
          <w:sz w:val="22"/>
          <w:szCs w:val="22"/>
        </w:rPr>
        <w:t xml:space="preserve">Asimismo, </w:t>
      </w:r>
      <w:r w:rsidRPr="00C04C4B">
        <w:rPr>
          <w:rFonts w:ascii="Garamond" w:hAnsi="Garamond" w:cs="Arial"/>
          <w:sz w:val="22"/>
          <w:szCs w:val="22"/>
          <w:lang w:val="es-CO"/>
        </w:rPr>
        <w:t>las</w:t>
      </w:r>
      <w:r w:rsidRPr="00C04C4B">
        <w:rPr>
          <w:rFonts w:ascii="Garamond" w:hAnsi="Garamond"/>
          <w:sz w:val="22"/>
          <w:szCs w:val="22"/>
        </w:rPr>
        <w:t xml:space="preserve">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 a los Consorcios y a las Uniones Temporales si alguno de sus integrantes se encuentra en la situación anterior. </w:t>
      </w:r>
    </w:p>
    <w:p w14:paraId="0389CA59" w14:textId="77777777" w:rsidR="00C04C4B" w:rsidRPr="00C04C4B" w:rsidRDefault="00C04C4B" w:rsidP="00C04C4B">
      <w:pPr>
        <w:pStyle w:val="InviasNormal"/>
        <w:spacing w:before="0" w:after="0"/>
        <w:jc w:val="both"/>
        <w:rPr>
          <w:rFonts w:ascii="Garamond" w:hAnsi="Garamond" w:cs="Arial"/>
          <w:sz w:val="22"/>
          <w:szCs w:val="22"/>
          <w:lang w:val="es-ES" w:eastAsia="es-CO"/>
        </w:rPr>
      </w:pPr>
    </w:p>
    <w:p w14:paraId="58246A3C" w14:textId="77777777" w:rsidR="00C04C4B" w:rsidRPr="00C04C4B" w:rsidRDefault="00C04C4B" w:rsidP="00C04C4B">
      <w:pPr>
        <w:pStyle w:val="Captulo9"/>
        <w:numPr>
          <w:ilvl w:val="0"/>
          <w:numId w:val="0"/>
        </w:numPr>
        <w:tabs>
          <w:tab w:val="left" w:pos="993"/>
        </w:tabs>
        <w:spacing w:line="240" w:lineRule="auto"/>
        <w:ind w:right="49"/>
        <w:jc w:val="both"/>
        <w:rPr>
          <w:rFonts w:ascii="Garamond" w:hAnsi="Garamond"/>
          <w:sz w:val="22"/>
          <w:szCs w:val="22"/>
          <w:highlight w:val="yellow"/>
          <w:lang w:eastAsia="es-ES"/>
        </w:rPr>
      </w:pPr>
      <w:r w:rsidRPr="00C04C4B">
        <w:rPr>
          <w:rFonts w:ascii="Garamond" w:hAnsi="Garamond"/>
          <w:b w:val="0"/>
          <w:bCs w:val="0"/>
          <w:color w:val="auto"/>
          <w:sz w:val="22"/>
          <w:szCs w:val="22"/>
          <w:lang w:eastAsia="es-ES"/>
        </w:rPr>
        <w:t>La reducción del puntaje antes señalada no se materializará en caso de que los actos administrativos que hayan impuesto las multas sean objeto de control jurisdiccional previst</w:t>
      </w:r>
      <w:r w:rsidRPr="00C04C4B">
        <w:rPr>
          <w:rFonts w:ascii="Garamond" w:eastAsia="Times New Roman" w:hAnsi="Garamond" w:cs="Times New Roman"/>
          <w:b w:val="0"/>
          <w:color w:val="auto"/>
          <w:sz w:val="22"/>
          <w:szCs w:val="22"/>
          <w:lang w:eastAsia="es-ES"/>
        </w:rPr>
        <w:t>o</w:t>
      </w:r>
      <w:r w:rsidRPr="00C04C4B">
        <w:rPr>
          <w:rFonts w:ascii="Garamond" w:hAnsi="Garamond"/>
          <w:b w:val="0"/>
          <w:bCs w:val="0"/>
          <w:color w:val="auto"/>
          <w:sz w:val="22"/>
          <w:szCs w:val="22"/>
          <w:lang w:eastAsia="es-ES"/>
        </w:rPr>
        <w:t xml:space="preserve">s en la Ley 1437 de 2011 o las normas que la modifiquen, adicionen o sustituyan. Además, se aplicará sin perjuicio de lo </w:t>
      </w:r>
      <w:r w:rsidRPr="00C04C4B">
        <w:rPr>
          <w:rFonts w:ascii="Garamond" w:eastAsia="Times New Roman" w:hAnsi="Garamond" w:cs="Times New Roman"/>
          <w:b w:val="0"/>
          <w:color w:val="auto"/>
          <w:sz w:val="22"/>
          <w:szCs w:val="22"/>
          <w:lang w:eastAsia="es-ES"/>
        </w:rPr>
        <w:t>dispuesto</w:t>
      </w:r>
      <w:r w:rsidRPr="00C04C4B">
        <w:rPr>
          <w:rFonts w:ascii="Garamond" w:hAnsi="Garamond"/>
          <w:b w:val="0"/>
          <w:bCs w:val="0"/>
          <w:color w:val="auto"/>
          <w:sz w:val="22"/>
          <w:szCs w:val="22"/>
          <w:lang w:eastAsia="es-ES"/>
        </w:rPr>
        <w:t xml:space="preserve"> en el artículo 6 de la Ley 2020 de 2020. Lo anterior, de conformidad con el artículo 58 de la Ley 2195 de 2022 y las normas que lo modifiquen, sustituyan, adicionen o reglamenten. </w:t>
      </w:r>
    </w:p>
    <w:p w14:paraId="080C5897" w14:textId="790B8214" w:rsidR="00C04C4B" w:rsidRPr="00C04C4B" w:rsidRDefault="00C04C4B" w:rsidP="00A23238">
      <w:pPr>
        <w:pStyle w:val="Capitulo1"/>
        <w:numPr>
          <w:ilvl w:val="2"/>
          <w:numId w:val="54"/>
        </w:numPr>
        <w:tabs>
          <w:tab w:val="left" w:pos="851"/>
        </w:tabs>
        <w:spacing w:line="240" w:lineRule="auto"/>
        <w:jc w:val="both"/>
        <w:rPr>
          <w:rFonts w:ascii="Garamond" w:eastAsia="Arial" w:hAnsi="Garamond"/>
          <w:color w:val="auto"/>
          <w:sz w:val="22"/>
          <w:szCs w:val="22"/>
        </w:rPr>
      </w:pPr>
      <w:bookmarkStart w:id="423" w:name="_Toc108082922"/>
      <w:bookmarkStart w:id="424" w:name="_Toc215132452"/>
      <w:bookmarkStart w:id="425" w:name="_Toc40113356"/>
      <w:r w:rsidRPr="00C04C4B">
        <w:rPr>
          <w:rFonts w:ascii="Garamond" w:eastAsia="Arial" w:hAnsi="Garamond"/>
          <w:color w:val="auto"/>
          <w:sz w:val="22"/>
          <w:szCs w:val="22"/>
        </w:rPr>
        <w:t>FORMA DE VERIFICACIÓN Y ASIGNACIÓN DE PUNTAJE POR LA EXPERIENCIA DEL PROPONENTE</w:t>
      </w:r>
      <w:bookmarkEnd w:id="423"/>
      <w:bookmarkEnd w:id="424"/>
    </w:p>
    <w:bookmarkEnd w:id="422"/>
    <w:bookmarkEnd w:id="425"/>
    <w:p w14:paraId="5CAF55B2" w14:textId="77777777" w:rsidR="00C04C4B" w:rsidRPr="00C04C4B" w:rsidRDefault="00C04C4B" w:rsidP="00C04C4B">
      <w:pPr>
        <w:jc w:val="both"/>
        <w:rPr>
          <w:rFonts w:ascii="Garamond" w:eastAsia="Arial" w:hAnsi="Garamond" w:cs="Arial"/>
        </w:rPr>
      </w:pPr>
    </w:p>
    <w:p w14:paraId="4D777A62" w14:textId="77777777" w:rsidR="00C04C4B" w:rsidRPr="00C04C4B" w:rsidRDefault="00C04C4B" w:rsidP="00C04C4B">
      <w:pPr>
        <w:jc w:val="both"/>
        <w:rPr>
          <w:rFonts w:ascii="Garamond" w:eastAsia="Arial" w:hAnsi="Garamond" w:cs="Arial"/>
          <w:lang w:eastAsia="es-ES"/>
        </w:rPr>
      </w:pPr>
      <w:bookmarkStart w:id="426" w:name="_Toc58490518"/>
      <w:bookmarkStart w:id="427" w:name="_Toc58490834"/>
      <w:bookmarkStart w:id="428" w:name="_Toc58491132"/>
      <w:bookmarkStart w:id="429" w:name="_Toc58490519"/>
      <w:bookmarkStart w:id="430" w:name="_Toc58490835"/>
      <w:bookmarkStart w:id="431" w:name="_Toc58491133"/>
      <w:bookmarkStart w:id="432" w:name="_Toc58490520"/>
      <w:bookmarkStart w:id="433" w:name="_Toc58490836"/>
      <w:bookmarkStart w:id="434" w:name="_Toc58491134"/>
      <w:bookmarkStart w:id="435" w:name="_Toc58490521"/>
      <w:bookmarkStart w:id="436" w:name="_Toc58490837"/>
      <w:bookmarkStart w:id="437" w:name="_Toc58491135"/>
      <w:bookmarkStart w:id="438" w:name="_Toc58490522"/>
      <w:bookmarkStart w:id="439" w:name="_Toc58490838"/>
      <w:bookmarkStart w:id="440" w:name="_Toc58491136"/>
      <w:bookmarkStart w:id="441" w:name="_Toc58490523"/>
      <w:bookmarkStart w:id="442" w:name="_Toc58490839"/>
      <w:bookmarkStart w:id="443" w:name="_Toc58491137"/>
      <w:bookmarkStart w:id="444" w:name="_Toc58490524"/>
      <w:bookmarkStart w:id="445" w:name="_Toc58490840"/>
      <w:bookmarkStart w:id="446" w:name="_Toc58491138"/>
      <w:bookmarkStart w:id="447" w:name="_Toc58490525"/>
      <w:bookmarkStart w:id="448" w:name="_Toc58490841"/>
      <w:bookmarkStart w:id="449" w:name="_Toc58491139"/>
      <w:bookmarkStart w:id="450" w:name="_Toc58490526"/>
      <w:bookmarkStart w:id="451" w:name="_Toc58490842"/>
      <w:bookmarkStart w:id="452" w:name="_Toc58491140"/>
      <w:bookmarkStart w:id="453" w:name="_Toc58490527"/>
      <w:bookmarkStart w:id="454" w:name="_Toc58490843"/>
      <w:bookmarkStart w:id="455" w:name="_Toc58491141"/>
      <w:bookmarkStart w:id="456" w:name="_Toc58490528"/>
      <w:bookmarkStart w:id="457" w:name="_Toc58490844"/>
      <w:bookmarkStart w:id="458" w:name="_Toc58491142"/>
      <w:bookmarkStart w:id="459" w:name="_Toc58490529"/>
      <w:bookmarkStart w:id="460" w:name="_Toc58490845"/>
      <w:bookmarkStart w:id="461" w:name="_Toc58491143"/>
      <w:bookmarkStart w:id="462" w:name="_Toc58490530"/>
      <w:bookmarkStart w:id="463" w:name="_Toc58490846"/>
      <w:bookmarkStart w:id="464" w:name="_Toc58491144"/>
      <w:bookmarkStart w:id="465" w:name="_Toc58490531"/>
      <w:bookmarkStart w:id="466" w:name="_Toc58490847"/>
      <w:bookmarkStart w:id="467" w:name="_Toc58491145"/>
      <w:bookmarkStart w:id="468" w:name="_Toc58490532"/>
      <w:bookmarkStart w:id="469" w:name="_Toc58490848"/>
      <w:bookmarkStart w:id="470" w:name="_Toc58491146"/>
      <w:bookmarkStart w:id="471" w:name="_Toc35616398"/>
      <w:bookmarkStart w:id="472" w:name="_Toc35616725"/>
      <w:bookmarkStart w:id="473" w:name="_Toc35616399"/>
      <w:bookmarkStart w:id="474" w:name="_Toc35616726"/>
      <w:bookmarkStart w:id="475" w:name="_Toc35616400"/>
      <w:bookmarkStart w:id="476" w:name="_Toc35616727"/>
      <w:bookmarkStart w:id="477" w:name="_Toc35616401"/>
      <w:bookmarkStart w:id="478" w:name="_Toc35616728"/>
      <w:bookmarkStart w:id="479" w:name="_Toc35616402"/>
      <w:bookmarkStart w:id="480" w:name="_Toc35616729"/>
      <w:bookmarkStart w:id="481" w:name="_Toc35616403"/>
      <w:bookmarkStart w:id="482" w:name="_Toc35616730"/>
      <w:bookmarkStart w:id="483" w:name="_Toc35616404"/>
      <w:bookmarkStart w:id="484" w:name="_Toc35616731"/>
      <w:bookmarkStart w:id="485" w:name="_Toc35616405"/>
      <w:bookmarkStart w:id="486" w:name="_Toc35616732"/>
      <w:bookmarkStart w:id="487" w:name="_Toc35616406"/>
      <w:bookmarkStart w:id="488" w:name="_Toc35616733"/>
      <w:bookmarkStart w:id="489" w:name="_Toc35616407"/>
      <w:bookmarkStart w:id="490" w:name="_Toc35616734"/>
      <w:bookmarkStart w:id="491" w:name="_Toc35616408"/>
      <w:bookmarkStart w:id="492" w:name="_Toc35616735"/>
      <w:bookmarkStart w:id="493" w:name="_Toc35616409"/>
      <w:bookmarkStart w:id="494" w:name="_Toc35616736"/>
      <w:bookmarkStart w:id="495" w:name="_Toc58490533"/>
      <w:bookmarkStart w:id="496" w:name="_Toc58490849"/>
      <w:bookmarkStart w:id="497" w:name="_Toc58491147"/>
      <w:bookmarkStart w:id="498" w:name="_Toc58490534"/>
      <w:bookmarkStart w:id="499" w:name="_Toc58490850"/>
      <w:bookmarkStart w:id="500" w:name="_Toc58491148"/>
      <w:bookmarkStart w:id="501" w:name="_Toc58490535"/>
      <w:bookmarkStart w:id="502" w:name="_Toc58490851"/>
      <w:bookmarkStart w:id="503" w:name="_Toc58491149"/>
      <w:bookmarkStart w:id="504" w:name="_Toc58490536"/>
      <w:bookmarkStart w:id="505" w:name="_Toc58490852"/>
      <w:bookmarkStart w:id="506" w:name="_Toc58491150"/>
      <w:bookmarkStart w:id="507" w:name="_Toc58490537"/>
      <w:bookmarkStart w:id="508" w:name="_Toc58490853"/>
      <w:bookmarkStart w:id="509" w:name="_Toc58491151"/>
      <w:bookmarkStart w:id="510" w:name="_Toc58490538"/>
      <w:bookmarkStart w:id="511" w:name="_Toc58490854"/>
      <w:bookmarkStart w:id="512" w:name="_Toc58491152"/>
      <w:bookmarkStart w:id="513" w:name="_Toc58490539"/>
      <w:bookmarkStart w:id="514" w:name="_Toc58490855"/>
      <w:bookmarkStart w:id="515" w:name="_Toc58491153"/>
      <w:bookmarkStart w:id="516" w:name="_Toc58490540"/>
      <w:bookmarkStart w:id="517" w:name="_Toc58490856"/>
      <w:bookmarkStart w:id="518" w:name="_Toc58491154"/>
      <w:bookmarkStart w:id="519" w:name="_Toc58490541"/>
      <w:bookmarkStart w:id="520" w:name="_Toc58490857"/>
      <w:bookmarkStart w:id="521" w:name="_Toc58491155"/>
      <w:bookmarkStart w:id="522" w:name="_Toc58490542"/>
      <w:bookmarkStart w:id="523" w:name="_Toc58490858"/>
      <w:bookmarkStart w:id="524" w:name="_Toc58491156"/>
      <w:bookmarkStart w:id="525" w:name="_Toc58490543"/>
      <w:bookmarkStart w:id="526" w:name="_Toc58490859"/>
      <w:bookmarkStart w:id="527" w:name="_Toc58491157"/>
      <w:bookmarkStart w:id="528" w:name="_Toc58490544"/>
      <w:bookmarkStart w:id="529" w:name="_Toc58490860"/>
      <w:bookmarkStart w:id="530" w:name="_Toc58491158"/>
      <w:bookmarkStart w:id="531" w:name="_Toc58490545"/>
      <w:bookmarkStart w:id="532" w:name="_Toc58490861"/>
      <w:bookmarkStart w:id="533" w:name="_Toc58491159"/>
      <w:bookmarkStart w:id="534" w:name="_Toc58490546"/>
      <w:bookmarkStart w:id="535" w:name="_Toc58490862"/>
      <w:bookmarkStart w:id="536" w:name="_Toc58491160"/>
      <w:bookmarkStart w:id="537" w:name="_Toc35616411"/>
      <w:bookmarkStart w:id="538" w:name="_Toc35616738"/>
      <w:bookmarkStart w:id="539" w:name="_Toc35616412"/>
      <w:bookmarkStart w:id="540" w:name="_Toc35616739"/>
      <w:bookmarkStart w:id="541" w:name="_Toc35616413"/>
      <w:bookmarkStart w:id="542" w:name="_Toc35616740"/>
      <w:bookmarkStart w:id="543" w:name="_Toc58490547"/>
      <w:bookmarkStart w:id="544" w:name="_Toc58490863"/>
      <w:bookmarkStart w:id="545" w:name="_Toc58491161"/>
      <w:bookmarkStart w:id="546" w:name="_Toc58490548"/>
      <w:bookmarkStart w:id="547" w:name="_Toc58490864"/>
      <w:bookmarkStart w:id="548" w:name="_Toc58491162"/>
      <w:bookmarkStart w:id="549" w:name="_Toc58490574"/>
      <w:bookmarkStart w:id="550" w:name="_Toc58490890"/>
      <w:bookmarkStart w:id="551" w:name="_Toc58491188"/>
      <w:bookmarkStart w:id="552" w:name="_Toc58490575"/>
      <w:bookmarkStart w:id="553" w:name="_Toc58490891"/>
      <w:bookmarkStart w:id="554" w:name="_Toc58491189"/>
      <w:bookmarkStart w:id="555" w:name="_Toc58490576"/>
      <w:bookmarkStart w:id="556" w:name="_Toc58490892"/>
      <w:bookmarkStart w:id="557" w:name="_Toc58491190"/>
      <w:bookmarkStart w:id="558" w:name="_Toc58490577"/>
      <w:bookmarkStart w:id="559" w:name="_Toc58490893"/>
      <w:bookmarkStart w:id="560" w:name="_Toc58491191"/>
      <w:bookmarkStart w:id="561" w:name="_Toc58490578"/>
      <w:bookmarkStart w:id="562" w:name="_Toc58490894"/>
      <w:bookmarkStart w:id="563" w:name="_Toc58491192"/>
      <w:bookmarkStart w:id="564" w:name="_Toc58490579"/>
      <w:bookmarkStart w:id="565" w:name="_Toc58490895"/>
      <w:bookmarkStart w:id="566" w:name="_Toc58491193"/>
      <w:bookmarkStart w:id="567" w:name="_Toc58490580"/>
      <w:bookmarkStart w:id="568" w:name="_Toc58490896"/>
      <w:bookmarkStart w:id="569" w:name="_Toc58491194"/>
      <w:bookmarkStart w:id="570" w:name="_Toc58490581"/>
      <w:bookmarkStart w:id="571" w:name="_Toc58490897"/>
      <w:bookmarkStart w:id="572" w:name="_Toc58491195"/>
      <w:bookmarkStart w:id="573" w:name="_Toc58490582"/>
      <w:bookmarkStart w:id="574" w:name="_Toc58490898"/>
      <w:bookmarkStart w:id="575" w:name="_Toc58491196"/>
      <w:bookmarkStart w:id="576" w:name="_Toc58490583"/>
      <w:bookmarkStart w:id="577" w:name="_Toc58490899"/>
      <w:bookmarkStart w:id="578" w:name="_Toc58491197"/>
      <w:bookmarkStart w:id="579" w:name="_Toc58490584"/>
      <w:bookmarkStart w:id="580" w:name="_Toc58490900"/>
      <w:bookmarkStart w:id="581" w:name="_Toc58491198"/>
      <w:bookmarkStart w:id="582" w:name="_Toc58490585"/>
      <w:bookmarkStart w:id="583" w:name="_Toc58490901"/>
      <w:bookmarkStart w:id="584" w:name="_Toc58491199"/>
      <w:bookmarkStart w:id="585" w:name="_Toc58490586"/>
      <w:bookmarkStart w:id="586" w:name="_Toc58490902"/>
      <w:bookmarkStart w:id="587" w:name="_Toc58491200"/>
      <w:bookmarkStart w:id="588" w:name="_Toc58490587"/>
      <w:bookmarkStart w:id="589" w:name="_Toc58490903"/>
      <w:bookmarkStart w:id="590" w:name="_Toc58491201"/>
      <w:bookmarkStart w:id="591" w:name="_Toc58490588"/>
      <w:bookmarkStart w:id="592" w:name="_Toc58490904"/>
      <w:bookmarkStart w:id="593" w:name="_Toc58491202"/>
      <w:bookmarkStart w:id="594" w:name="_Toc58490589"/>
      <w:bookmarkStart w:id="595" w:name="_Toc58490905"/>
      <w:bookmarkStart w:id="596" w:name="_Toc58491203"/>
      <w:bookmarkStart w:id="597" w:name="_Toc58490590"/>
      <w:bookmarkStart w:id="598" w:name="_Toc58490906"/>
      <w:bookmarkStart w:id="599" w:name="_Toc58491204"/>
      <w:bookmarkStart w:id="600" w:name="_Toc58490591"/>
      <w:bookmarkStart w:id="601" w:name="_Toc58490907"/>
      <w:bookmarkStart w:id="602" w:name="_Toc58491205"/>
      <w:bookmarkStart w:id="603" w:name="_Toc58490592"/>
      <w:bookmarkStart w:id="604" w:name="_Toc58490908"/>
      <w:bookmarkStart w:id="605" w:name="_Toc58491206"/>
      <w:bookmarkStart w:id="606" w:name="_Toc58490593"/>
      <w:bookmarkStart w:id="607" w:name="_Toc58490909"/>
      <w:bookmarkStart w:id="608" w:name="_Toc58491207"/>
      <w:bookmarkStart w:id="609" w:name="_Toc58490594"/>
      <w:bookmarkStart w:id="610" w:name="_Toc58490910"/>
      <w:bookmarkStart w:id="611" w:name="_Toc58491208"/>
      <w:bookmarkStart w:id="612" w:name="_Toc48204169"/>
      <w:bookmarkStart w:id="613" w:name="_Toc58490595"/>
      <w:bookmarkStart w:id="614" w:name="_Toc58490911"/>
      <w:bookmarkStart w:id="615" w:name="_Toc58491209"/>
      <w:bookmarkStart w:id="616" w:name="_Toc58490596"/>
      <w:bookmarkStart w:id="617" w:name="_Toc58490912"/>
      <w:bookmarkStart w:id="618" w:name="_Toc58491210"/>
      <w:bookmarkStart w:id="619" w:name="_Toc58490597"/>
      <w:bookmarkStart w:id="620" w:name="_Toc58490913"/>
      <w:bookmarkStart w:id="621" w:name="_Toc58491211"/>
      <w:bookmarkStart w:id="622" w:name="_Toc58490598"/>
      <w:bookmarkStart w:id="623" w:name="_Toc58490914"/>
      <w:bookmarkStart w:id="624" w:name="_Toc58491212"/>
      <w:bookmarkStart w:id="625" w:name="_Toc58490599"/>
      <w:bookmarkStart w:id="626" w:name="_Toc58490915"/>
      <w:bookmarkStart w:id="627" w:name="_Toc58491213"/>
      <w:bookmarkStart w:id="628" w:name="_Toc58490600"/>
      <w:bookmarkStart w:id="629" w:name="_Toc58490916"/>
      <w:bookmarkStart w:id="630" w:name="_Toc58491214"/>
      <w:bookmarkStart w:id="631" w:name="_Toc58490601"/>
      <w:bookmarkStart w:id="632" w:name="_Toc58490917"/>
      <w:bookmarkStart w:id="633" w:name="_Toc58491215"/>
      <w:bookmarkStart w:id="634" w:name="_Toc58490602"/>
      <w:bookmarkStart w:id="635" w:name="_Toc58490918"/>
      <w:bookmarkStart w:id="636" w:name="_Toc58491216"/>
      <w:bookmarkStart w:id="637" w:name="_Toc58490603"/>
      <w:bookmarkStart w:id="638" w:name="_Toc58490919"/>
      <w:bookmarkStart w:id="639" w:name="_Toc58491217"/>
      <w:bookmarkStart w:id="640" w:name="_Toc58490604"/>
      <w:bookmarkStart w:id="641" w:name="_Toc58490920"/>
      <w:bookmarkStart w:id="642" w:name="_Toc58491218"/>
      <w:bookmarkStart w:id="643" w:name="_Toc58490605"/>
      <w:bookmarkStart w:id="644" w:name="_Toc58490921"/>
      <w:bookmarkStart w:id="645" w:name="_Toc58491219"/>
      <w:bookmarkStart w:id="646" w:name="_Toc58490606"/>
      <w:bookmarkStart w:id="647" w:name="_Toc58490922"/>
      <w:bookmarkStart w:id="648" w:name="_Toc58491220"/>
      <w:bookmarkStart w:id="649" w:name="_Toc58490607"/>
      <w:bookmarkStart w:id="650" w:name="_Toc58490923"/>
      <w:bookmarkStart w:id="651" w:name="_Toc58491221"/>
      <w:bookmarkStart w:id="652" w:name="_Toc58490608"/>
      <w:bookmarkStart w:id="653" w:name="_Toc58490924"/>
      <w:bookmarkStart w:id="654" w:name="_Toc58491222"/>
      <w:bookmarkStart w:id="655" w:name="_Toc58490609"/>
      <w:bookmarkStart w:id="656" w:name="_Toc58490925"/>
      <w:bookmarkStart w:id="657" w:name="_Toc58491223"/>
      <w:bookmarkStart w:id="658" w:name="_Toc58490610"/>
      <w:bookmarkStart w:id="659" w:name="_Toc58490926"/>
      <w:bookmarkStart w:id="660" w:name="_Toc58491224"/>
      <w:bookmarkStart w:id="661" w:name="_Toc58490611"/>
      <w:bookmarkStart w:id="662" w:name="_Toc58490927"/>
      <w:bookmarkStart w:id="663" w:name="_Toc58491225"/>
      <w:bookmarkStart w:id="664" w:name="_Toc58490612"/>
      <w:bookmarkStart w:id="665" w:name="_Toc58490928"/>
      <w:bookmarkStart w:id="666" w:name="_Toc58491226"/>
      <w:bookmarkStart w:id="667" w:name="_Toc58490613"/>
      <w:bookmarkStart w:id="668" w:name="_Toc58490929"/>
      <w:bookmarkStart w:id="669" w:name="_Toc58491227"/>
      <w:bookmarkStart w:id="670" w:name="_Toc58490614"/>
      <w:bookmarkStart w:id="671" w:name="_Toc58490930"/>
      <w:bookmarkStart w:id="672" w:name="_Toc58491228"/>
      <w:bookmarkStart w:id="673" w:name="_Toc58490615"/>
      <w:bookmarkStart w:id="674" w:name="_Toc58490931"/>
      <w:bookmarkStart w:id="675" w:name="_Toc58491229"/>
      <w:bookmarkStart w:id="676" w:name="_Toc58490616"/>
      <w:bookmarkStart w:id="677" w:name="_Toc58490932"/>
      <w:bookmarkStart w:id="678" w:name="_Toc58491230"/>
      <w:bookmarkStart w:id="679" w:name="_Toc58490617"/>
      <w:bookmarkStart w:id="680" w:name="_Toc58490933"/>
      <w:bookmarkStart w:id="681" w:name="_Toc58491231"/>
      <w:bookmarkStart w:id="682" w:name="_Toc58490618"/>
      <w:bookmarkStart w:id="683" w:name="_Toc58490934"/>
      <w:bookmarkStart w:id="684" w:name="_Toc58491232"/>
      <w:bookmarkStart w:id="685" w:name="_Toc58490619"/>
      <w:bookmarkStart w:id="686" w:name="_Toc58490935"/>
      <w:bookmarkStart w:id="687" w:name="_Toc58491233"/>
      <w:bookmarkStart w:id="688" w:name="_Toc58490620"/>
      <w:bookmarkStart w:id="689" w:name="_Toc58490936"/>
      <w:bookmarkStart w:id="690" w:name="_Toc58491234"/>
      <w:bookmarkStart w:id="691" w:name="_Toc58490621"/>
      <w:bookmarkStart w:id="692" w:name="_Toc58490937"/>
      <w:bookmarkStart w:id="693" w:name="_Toc58491235"/>
      <w:bookmarkStart w:id="694" w:name="_Toc58490622"/>
      <w:bookmarkStart w:id="695" w:name="_Toc58490938"/>
      <w:bookmarkStart w:id="696" w:name="_Toc58491236"/>
      <w:bookmarkStart w:id="697" w:name="_Toc58490623"/>
      <w:bookmarkStart w:id="698" w:name="_Toc58490939"/>
      <w:bookmarkStart w:id="699" w:name="_Toc58491237"/>
      <w:bookmarkStart w:id="700" w:name="_Toc58490624"/>
      <w:bookmarkStart w:id="701" w:name="_Toc58490940"/>
      <w:bookmarkStart w:id="702" w:name="_Toc58491238"/>
      <w:bookmarkStart w:id="703" w:name="_Toc58490625"/>
      <w:bookmarkStart w:id="704" w:name="_Toc58490941"/>
      <w:bookmarkStart w:id="705" w:name="_Toc58491239"/>
      <w:bookmarkStart w:id="706" w:name="_Toc58490626"/>
      <w:bookmarkStart w:id="707" w:name="_Toc58490942"/>
      <w:bookmarkStart w:id="708" w:name="_Toc58491240"/>
      <w:bookmarkStart w:id="709" w:name="_Toc58490627"/>
      <w:bookmarkStart w:id="710" w:name="_Toc58490943"/>
      <w:bookmarkStart w:id="711" w:name="_Toc58491241"/>
      <w:bookmarkStart w:id="712" w:name="_Toc58490628"/>
      <w:bookmarkStart w:id="713" w:name="_Toc58490944"/>
      <w:bookmarkStart w:id="714" w:name="_Toc58491242"/>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r w:rsidRPr="00C04C4B">
        <w:rPr>
          <w:rFonts w:ascii="Garamond" w:eastAsia="Arial" w:hAnsi="Garamond" w:cs="Arial"/>
          <w:lang w:eastAsia="es-ES"/>
        </w:rPr>
        <w:t>La Entidad evaluará la experiencia del Proponente de acuerdo con los siguientes pasos:</w:t>
      </w:r>
    </w:p>
    <w:p w14:paraId="7B9EF0F1" w14:textId="77777777" w:rsidR="00C04C4B" w:rsidRPr="00C04C4B" w:rsidRDefault="00C04C4B" w:rsidP="00C04C4B">
      <w:pPr>
        <w:rPr>
          <w:rFonts w:ascii="Garamond" w:eastAsia="Arial" w:hAnsi="Garamond" w:cs="Arial"/>
          <w:lang w:eastAsia="es-ES"/>
        </w:rPr>
      </w:pPr>
    </w:p>
    <w:p w14:paraId="1B8E4A9C" w14:textId="77777777" w:rsidR="00C04C4B" w:rsidRPr="00C04C4B" w:rsidRDefault="00C04C4B" w:rsidP="00A23238">
      <w:pPr>
        <w:widowControl/>
        <w:numPr>
          <w:ilvl w:val="0"/>
          <w:numId w:val="37"/>
        </w:numPr>
        <w:contextualSpacing/>
        <w:jc w:val="both"/>
        <w:rPr>
          <w:rFonts w:ascii="Garamond" w:eastAsiaTheme="minorEastAsia" w:hAnsi="Garamond" w:cstheme="minorBidi"/>
          <w:lang w:eastAsia="es-ES"/>
        </w:rPr>
      </w:pPr>
      <w:r w:rsidRPr="00C04C4B">
        <w:rPr>
          <w:rFonts w:ascii="Garamond" w:eastAsia="Arial" w:hAnsi="Garamond" w:cs="Arial"/>
          <w:lang w:eastAsia="es-ES"/>
        </w:rPr>
        <w:t>El Proponente cumplirá con la exigencia mínima de experiencia prevista en el numeral 3.9.1. del Pliego de Condiciones. De acuerdo con lo anterior, si el Proponente debió subsanar el cumplimiento de la experiencia mínima, para la asignación de puntaje no se tendrán en cuenta los contratos que hayan sido objeto de subsanación. para definir el promedio de los contratos válidos aportados que se refiere el literal B) de este numeral.</w:t>
      </w:r>
    </w:p>
    <w:p w14:paraId="3CD0FC4B" w14:textId="77777777" w:rsidR="00C04C4B" w:rsidRPr="00C04C4B" w:rsidRDefault="00C04C4B" w:rsidP="00C04C4B">
      <w:pPr>
        <w:ind w:left="709"/>
        <w:contextualSpacing/>
        <w:jc w:val="both"/>
        <w:rPr>
          <w:rFonts w:ascii="Garamond" w:hAnsi="Garamond"/>
        </w:rPr>
      </w:pPr>
    </w:p>
    <w:p w14:paraId="386B96DF" w14:textId="77777777" w:rsidR="00C04C4B" w:rsidRPr="00C04C4B" w:rsidRDefault="00C04C4B" w:rsidP="00C04C4B">
      <w:pPr>
        <w:ind w:left="709"/>
        <w:contextualSpacing/>
        <w:jc w:val="both"/>
        <w:rPr>
          <w:rFonts w:ascii="Garamond" w:eastAsia="Arial" w:hAnsi="Garamond" w:cs="Arial"/>
        </w:rPr>
      </w:pPr>
      <w:r w:rsidRPr="00C04C4B">
        <w:rPr>
          <w:rFonts w:ascii="Garamond" w:eastAsia="Arial" w:hAnsi="Garamond" w:cs="Arial"/>
        </w:rPr>
        <w:t>Cuando un Proponente haya subsanado la totalidad de los contratos aportados, su oferta no será tenida en cuenta para aplicar las fórmulas para la ponderación de la experiencia del Proponente, por lo que, además, por este criterio de asignación de puntaje obtendrá cero (0) puntos.</w:t>
      </w:r>
    </w:p>
    <w:p w14:paraId="1287C9BF" w14:textId="77777777" w:rsidR="00C04C4B" w:rsidRPr="00C04C4B" w:rsidRDefault="00C04C4B" w:rsidP="00C04C4B">
      <w:pPr>
        <w:contextualSpacing/>
        <w:jc w:val="both"/>
        <w:rPr>
          <w:rFonts w:ascii="Garamond" w:eastAsia="Arial" w:hAnsi="Garamond" w:cs="Arial"/>
          <w:lang w:eastAsia="es-ES"/>
        </w:rPr>
      </w:pPr>
      <w:r w:rsidRPr="00C04C4B">
        <w:rPr>
          <w:rFonts w:ascii="Garamond" w:eastAsia="Arial" w:hAnsi="Garamond" w:cs="Arial"/>
          <w:lang w:eastAsia="es-ES"/>
        </w:rPr>
        <w:tab/>
      </w:r>
    </w:p>
    <w:p w14:paraId="7E536AF7" w14:textId="77777777" w:rsidR="00C04C4B" w:rsidRPr="00C04C4B" w:rsidRDefault="00C04C4B" w:rsidP="00A23238">
      <w:pPr>
        <w:widowControl/>
        <w:numPr>
          <w:ilvl w:val="0"/>
          <w:numId w:val="37"/>
        </w:numPr>
        <w:contextualSpacing/>
        <w:jc w:val="both"/>
        <w:rPr>
          <w:rFonts w:ascii="Garamond" w:eastAsia="Arial" w:hAnsi="Garamond" w:cs="Arial"/>
          <w:lang w:eastAsia="es-ES"/>
        </w:rPr>
      </w:pPr>
      <w:r w:rsidRPr="00C04C4B">
        <w:rPr>
          <w:rFonts w:ascii="Garamond" w:eastAsia="Arial" w:hAnsi="Garamond" w:cs="Arial"/>
          <w:lang w:eastAsia="es-ES"/>
        </w:rPr>
        <w:t xml:space="preserve">Para la asignación de puntaje, se tomará el promedio de los contratos válidos aportados de cada propuesta hábil expresados en </w:t>
      </w:r>
      <w:proofErr w:type="spellStart"/>
      <w:r w:rsidRPr="00C04C4B">
        <w:rPr>
          <w:rFonts w:ascii="Garamond" w:eastAsia="Arial" w:hAnsi="Garamond" w:cs="Arial"/>
          <w:lang w:eastAsia="es-ES"/>
        </w:rPr>
        <w:t>SMMLV</w:t>
      </w:r>
      <w:proofErr w:type="spellEnd"/>
      <w:r w:rsidRPr="00C04C4B">
        <w:rPr>
          <w:rFonts w:ascii="Garamond" w:eastAsia="Arial" w:hAnsi="Garamond" w:cs="Arial"/>
          <w:lang w:eastAsia="es-ES"/>
        </w:rPr>
        <w:t xml:space="preserve"> registrados en el Registro Único de Proponentes (</w:t>
      </w:r>
      <w:proofErr w:type="spellStart"/>
      <w:r w:rsidRPr="00C04C4B">
        <w:rPr>
          <w:rFonts w:ascii="Garamond" w:eastAsia="Arial" w:hAnsi="Garamond" w:cs="Arial"/>
          <w:lang w:eastAsia="es-ES"/>
        </w:rPr>
        <w:t>RUP</w:t>
      </w:r>
      <w:proofErr w:type="spellEnd"/>
      <w:r w:rsidRPr="00C04C4B">
        <w:rPr>
          <w:rFonts w:ascii="Garamond" w:eastAsia="Arial" w:hAnsi="Garamond" w:cs="Arial"/>
          <w:lang w:eastAsia="es-ES"/>
        </w:rPr>
        <w:t xml:space="preserve">) o en </w:t>
      </w:r>
      <w:r w:rsidRPr="00C04C4B">
        <w:rPr>
          <w:rFonts w:ascii="Garamond" w:eastAsia="Arial" w:hAnsi="Garamond" w:cs="Arial"/>
        </w:rPr>
        <w:t xml:space="preserve">alguno de los documentos válidos señalados en el numeral </w:t>
      </w:r>
      <w:r w:rsidRPr="00C04C4B">
        <w:rPr>
          <w:rFonts w:ascii="Garamond" w:eastAsia="Arial" w:hAnsi="Garamond" w:cs="Arial"/>
        </w:rPr>
        <w:fldChar w:fldCharType="begin"/>
      </w:r>
      <w:r w:rsidRPr="00C04C4B">
        <w:rPr>
          <w:rFonts w:ascii="Garamond" w:eastAsia="Arial" w:hAnsi="Garamond" w:cs="Arial"/>
        </w:rPr>
        <w:instrText xml:space="preserve"> REF _Ref58506494 \r \h  \* MERGEFORMAT </w:instrText>
      </w:r>
      <w:r w:rsidRPr="00C04C4B">
        <w:rPr>
          <w:rFonts w:ascii="Garamond" w:eastAsia="Arial" w:hAnsi="Garamond" w:cs="Arial"/>
        </w:rPr>
      </w:r>
      <w:r w:rsidRPr="00C04C4B">
        <w:rPr>
          <w:rFonts w:ascii="Garamond" w:eastAsia="Arial" w:hAnsi="Garamond" w:cs="Arial"/>
        </w:rPr>
        <w:fldChar w:fldCharType="separate"/>
      </w:r>
      <w:r w:rsidRPr="00C04C4B">
        <w:rPr>
          <w:rFonts w:ascii="Garamond" w:eastAsia="Arial" w:hAnsi="Garamond" w:cs="Arial"/>
        </w:rPr>
        <w:t>10.1.5</w:t>
      </w:r>
      <w:r w:rsidRPr="00C04C4B">
        <w:rPr>
          <w:rFonts w:ascii="Garamond" w:eastAsia="Arial" w:hAnsi="Garamond" w:cs="Arial"/>
        </w:rPr>
        <w:fldChar w:fldCharType="end"/>
      </w:r>
      <w:r w:rsidRPr="00C04C4B">
        <w:rPr>
          <w:rFonts w:ascii="Garamond" w:eastAsia="Arial" w:hAnsi="Garamond" w:cs="Arial"/>
        </w:rPr>
        <w:t xml:space="preserve">, que acredite su experiencia relacionada en el </w:t>
      </w:r>
      <w:proofErr w:type="spellStart"/>
      <w:r w:rsidRPr="00C04C4B">
        <w:rPr>
          <w:rFonts w:ascii="Garamond" w:eastAsia="Arial" w:hAnsi="Garamond" w:cs="Arial"/>
        </w:rPr>
        <w:t>RUP</w:t>
      </w:r>
      <w:proofErr w:type="spellEnd"/>
      <w:r w:rsidRPr="00C04C4B">
        <w:rPr>
          <w:rFonts w:ascii="Garamond" w:eastAsia="Arial" w:hAnsi="Garamond" w:cs="Arial"/>
          <w:lang w:eastAsia="es-ES"/>
        </w:rPr>
        <w:t xml:space="preserve">, y que en total hayan cumplido con lo mencionado en el literal A de esta sección. Dicho promedio será el valor que lo hará participar para la asignación del puntaje, según se detalla en esta sección. </w:t>
      </w:r>
    </w:p>
    <w:p w14:paraId="613B89FA" w14:textId="77777777" w:rsidR="00C04C4B" w:rsidRPr="00C04C4B" w:rsidRDefault="00C04C4B" w:rsidP="00C04C4B">
      <w:pPr>
        <w:ind w:left="709"/>
        <w:contextualSpacing/>
        <w:jc w:val="both"/>
        <w:rPr>
          <w:rFonts w:ascii="Garamond" w:eastAsia="Arial" w:hAnsi="Garamond" w:cs="Arial"/>
          <w:lang w:eastAsia="es-ES"/>
        </w:rPr>
      </w:pPr>
    </w:p>
    <w:p w14:paraId="44292C96" w14:textId="77777777" w:rsidR="00C04C4B" w:rsidRPr="00963822" w:rsidRDefault="00C04C4B" w:rsidP="00A23238">
      <w:pPr>
        <w:widowControl/>
        <w:numPr>
          <w:ilvl w:val="0"/>
          <w:numId w:val="37"/>
        </w:numPr>
        <w:contextualSpacing/>
        <w:jc w:val="both"/>
        <w:rPr>
          <w:rFonts w:ascii="Garamond" w:eastAsia="Arial" w:hAnsi="Garamond" w:cs="Arial"/>
          <w:lang w:eastAsia="es-ES"/>
        </w:rPr>
      </w:pPr>
      <w:r w:rsidRPr="00C04C4B">
        <w:rPr>
          <w:rFonts w:ascii="Garamond" w:eastAsia="Arial" w:hAnsi="Garamond" w:cs="Arial"/>
          <w:lang w:eastAsia="es-ES"/>
        </w:rPr>
        <w:t>Posteriormente, se seleccionará un método aleatorio en función de la Tasa Representativa del Mercado (</w:t>
      </w:r>
      <w:proofErr w:type="spellStart"/>
      <w:r w:rsidRPr="00C04C4B">
        <w:rPr>
          <w:rFonts w:ascii="Garamond" w:eastAsia="Arial" w:hAnsi="Garamond" w:cs="Arial"/>
          <w:lang w:eastAsia="es-ES"/>
        </w:rPr>
        <w:t>TRM</w:t>
      </w:r>
      <w:proofErr w:type="spellEnd"/>
      <w:r w:rsidRPr="00C04C4B">
        <w:rPr>
          <w:rFonts w:ascii="Garamond" w:eastAsia="Arial" w:hAnsi="Garamond" w:cs="Arial"/>
          <w:lang w:eastAsia="es-ES"/>
        </w:rPr>
        <w:t>) certificada por la Superintendencia Financier</w:t>
      </w:r>
      <w:r w:rsidRPr="00963822">
        <w:rPr>
          <w:rFonts w:ascii="Garamond" w:eastAsia="Arial" w:hAnsi="Garamond" w:cs="Arial"/>
          <w:lang w:eastAsia="es-ES"/>
        </w:rPr>
        <w:t xml:space="preserve">a de Colombia [en su sitio web: </w:t>
      </w:r>
      <w:hyperlink r:id="rId20">
        <w:r w:rsidRPr="00963822">
          <w:rPr>
            <w:rFonts w:ascii="Garamond" w:eastAsia="Arial" w:hAnsi="Garamond"/>
            <w:lang w:eastAsia="es-ES"/>
          </w:rPr>
          <w:t>https://www.superfinanciera.gov.co/publicacion/60819</w:t>
        </w:r>
      </w:hyperlink>
      <w:r w:rsidRPr="00963822">
        <w:rPr>
          <w:rFonts w:ascii="Garamond" w:eastAsia="Arial" w:hAnsi="Garamond" w:cs="Arial"/>
          <w:lang w:eastAsia="es-ES"/>
        </w:rPr>
        <w:t>].</w:t>
      </w:r>
    </w:p>
    <w:p w14:paraId="7AA05E7D" w14:textId="77777777" w:rsidR="00C04C4B" w:rsidRPr="00C04C4B" w:rsidRDefault="00C04C4B" w:rsidP="00C04C4B">
      <w:pPr>
        <w:ind w:left="720"/>
        <w:contextualSpacing/>
        <w:jc w:val="both"/>
        <w:rPr>
          <w:rFonts w:ascii="Garamond" w:eastAsia="Arial" w:hAnsi="Garamond" w:cs="Arial"/>
          <w:lang w:eastAsia="es-ES"/>
        </w:rPr>
      </w:pPr>
    </w:p>
    <w:p w14:paraId="7555E61B" w14:textId="77777777" w:rsidR="00C04C4B" w:rsidRPr="00C04C4B" w:rsidRDefault="00C04C4B" w:rsidP="00C04C4B">
      <w:pPr>
        <w:ind w:left="709"/>
        <w:contextualSpacing/>
        <w:jc w:val="both"/>
        <w:rPr>
          <w:rFonts w:ascii="Garamond" w:eastAsia="Arial" w:hAnsi="Garamond" w:cs="Arial"/>
          <w:lang w:eastAsia="es-ES"/>
        </w:rPr>
      </w:pPr>
      <w:r w:rsidRPr="00C04C4B">
        <w:rPr>
          <w:rFonts w:ascii="Garamond" w:eastAsia="Arial" w:hAnsi="Garamond" w:cs="Arial"/>
          <w:lang w:eastAsia="es-ES"/>
        </w:rPr>
        <w:t xml:space="preserve">La </w:t>
      </w:r>
      <w:proofErr w:type="spellStart"/>
      <w:r w:rsidRPr="00C04C4B">
        <w:rPr>
          <w:rFonts w:ascii="Garamond" w:eastAsia="Arial" w:hAnsi="Garamond" w:cs="Arial"/>
          <w:lang w:eastAsia="es-ES"/>
        </w:rPr>
        <w:t>TRM</w:t>
      </w:r>
      <w:proofErr w:type="spellEnd"/>
      <w:r w:rsidRPr="00C04C4B">
        <w:rPr>
          <w:rFonts w:ascii="Garamond" w:eastAsia="Arial" w:hAnsi="Garamond" w:cs="Arial"/>
          <w:lang w:eastAsia="es-ES"/>
        </w:rPr>
        <w:t xml:space="preserve"> que la Entidad utilizará para determinar el método de ponderación será la que rija el </w:t>
      </w:r>
      <w:r w:rsidRPr="00C04C4B">
        <w:rPr>
          <w:rFonts w:ascii="Garamond" w:eastAsia="Arial" w:hAnsi="Garamond" w:cs="Arial"/>
          <w:i/>
          <w:iCs/>
          <w:lang w:eastAsia="es-ES"/>
        </w:rPr>
        <w:t xml:space="preserve">segundo día </w:t>
      </w:r>
      <w:r w:rsidRPr="00C04C4B">
        <w:rPr>
          <w:rFonts w:ascii="Garamond" w:eastAsia="Arial" w:hAnsi="Garamond" w:cs="Arial"/>
          <w:i/>
          <w:iCs/>
          <w:lang w:eastAsia="es-ES"/>
        </w:rPr>
        <w:lastRenderedPageBreak/>
        <w:t>hábil después de finalizado el periodo de traslado del informe de evaluación</w:t>
      </w:r>
      <w:r w:rsidRPr="00C04C4B">
        <w:rPr>
          <w:rFonts w:ascii="Garamond" w:eastAsia="Arial" w:hAnsi="Garamond" w:cs="Arial"/>
        </w:rPr>
        <w:t>.</w:t>
      </w:r>
      <w:r w:rsidRPr="00C04C4B">
        <w:rPr>
          <w:rFonts w:ascii="Garamond" w:eastAsia="Arial" w:hAnsi="Garamond" w:cs="Arial"/>
          <w:lang w:eastAsia="es-ES"/>
        </w:rPr>
        <w:t xml:space="preserve"> Esto es, la que la Superintendencia publique en horas de la tarde del día hábil siguiente a la fecha efectiva de finalizado el periodo de traslado del informe de </w:t>
      </w:r>
      <w:r w:rsidRPr="00963822">
        <w:rPr>
          <w:rFonts w:ascii="Garamond" w:eastAsia="Arial" w:hAnsi="Garamond" w:cs="Arial"/>
          <w:lang w:eastAsia="es-ES"/>
        </w:rPr>
        <w:t xml:space="preserve">evaluación. [Por ejemplo, si el término de traslado del informe de evaluación finaliza el 10 de febrero, la </w:t>
      </w:r>
      <w:proofErr w:type="spellStart"/>
      <w:r w:rsidRPr="00963822">
        <w:rPr>
          <w:rFonts w:ascii="Garamond" w:eastAsia="Arial" w:hAnsi="Garamond" w:cs="Arial"/>
          <w:lang w:eastAsia="es-ES"/>
        </w:rPr>
        <w:t>TRM</w:t>
      </w:r>
      <w:proofErr w:type="spellEnd"/>
      <w:r w:rsidRPr="00963822">
        <w:rPr>
          <w:rFonts w:ascii="Garamond" w:eastAsia="Arial" w:hAnsi="Garamond" w:cs="Arial"/>
          <w:lang w:eastAsia="es-ES"/>
        </w:rPr>
        <w:t xml:space="preserve"> que se usará para determinar el método de evaluación será la del 12 de febrero, que se publica en la tarde del 11 de febrero]</w:t>
      </w:r>
      <w:r w:rsidRPr="00C04C4B">
        <w:rPr>
          <w:rFonts w:ascii="Garamond" w:eastAsia="Arial" w:hAnsi="Garamond" w:cs="Arial"/>
          <w:lang w:eastAsia="es-ES"/>
        </w:rPr>
        <w:t xml:space="preserve"> </w:t>
      </w:r>
    </w:p>
    <w:p w14:paraId="7B698E05" w14:textId="77777777" w:rsidR="00C04C4B" w:rsidRPr="00C04C4B" w:rsidRDefault="00C04C4B" w:rsidP="00C04C4B">
      <w:pPr>
        <w:ind w:left="709"/>
        <w:jc w:val="both"/>
        <w:rPr>
          <w:rFonts w:ascii="Garamond" w:eastAsia="BlinkMacSystemFont" w:hAnsi="Garamond" w:cs="Arial"/>
        </w:rPr>
      </w:pPr>
    </w:p>
    <w:p w14:paraId="1B7A4B88" w14:textId="77777777" w:rsidR="00C04C4B" w:rsidRPr="00C04C4B" w:rsidRDefault="00C04C4B" w:rsidP="00C04C4B">
      <w:pPr>
        <w:ind w:left="709"/>
        <w:jc w:val="both"/>
        <w:rPr>
          <w:rFonts w:ascii="Garamond" w:eastAsia="BlinkMacSystemFont" w:hAnsi="Garamond" w:cs="Arial"/>
        </w:rPr>
      </w:pPr>
      <w:r w:rsidRPr="00C04C4B">
        <w:rPr>
          <w:rFonts w:ascii="Garamond" w:eastAsia="BlinkMacSystemFont" w:hAnsi="Garamond" w:cs="Arial"/>
        </w:rPr>
        <w:t xml:space="preserve">En el evento excepcional establecido en el numeral 1.6, cuando la Entidad no hubiese advertido durante el proceso de evaluación la ausencia de requisitos o la falta de documentos referentes a la futura contratación o al Proponente, ya sea en relación con los requisitos habilitantes o para aclarar aspectos que otorgan puntaje o relativos a los factores de desempate, y por ende, deba requerir a algún proponente, </w:t>
      </w:r>
      <w:r w:rsidRPr="00C04C4B">
        <w:rPr>
          <w:rFonts w:ascii="Garamond" w:eastAsia="BlinkMacSystemFont" w:hAnsi="Garamond" w:cs="Arial"/>
          <w:u w:val="single"/>
        </w:rPr>
        <w:t xml:space="preserve">la </w:t>
      </w:r>
      <w:proofErr w:type="spellStart"/>
      <w:r w:rsidRPr="00C04C4B">
        <w:rPr>
          <w:rFonts w:ascii="Garamond" w:eastAsia="BlinkMacSystemFont" w:hAnsi="Garamond" w:cs="Arial"/>
          <w:u w:val="single"/>
        </w:rPr>
        <w:t>TRM</w:t>
      </w:r>
      <w:proofErr w:type="spellEnd"/>
      <w:r w:rsidRPr="00C04C4B">
        <w:rPr>
          <w:rFonts w:ascii="Garamond" w:eastAsia="BlinkMacSystemFont" w:hAnsi="Garamond" w:cs="Arial"/>
          <w:u w:val="single"/>
        </w:rPr>
        <w:t xml:space="preserve"> que la Entidad utilizará para determinar el método de ponderación será la que rija el </w:t>
      </w:r>
      <w:r w:rsidRPr="00C04C4B">
        <w:rPr>
          <w:rFonts w:ascii="Garamond" w:eastAsia="BlinkMacSystemFont" w:hAnsi="Garamond" w:cs="Arial"/>
          <w:i/>
          <w:iCs/>
          <w:u w:val="single"/>
        </w:rPr>
        <w:t>segundo día hábil después de finalizado el periodo concedido al proponente requerido para allegar la subsanación y/o aclaración solicitada</w:t>
      </w:r>
      <w:r w:rsidRPr="00C04C4B">
        <w:rPr>
          <w:rFonts w:ascii="Garamond" w:eastAsia="BlinkMacSystemFont" w:hAnsi="Garamond" w:cs="Arial"/>
          <w:u w:val="single"/>
        </w:rPr>
        <w:t>.</w:t>
      </w:r>
      <w:r w:rsidRPr="00C04C4B">
        <w:rPr>
          <w:rFonts w:ascii="Garamond" w:eastAsia="BlinkMacSystemFont" w:hAnsi="Garamond" w:cs="Arial"/>
          <w:i/>
          <w:iCs/>
        </w:rPr>
        <w:t xml:space="preserve">  </w:t>
      </w:r>
      <w:r w:rsidRPr="00C04C4B">
        <w:rPr>
          <w:rFonts w:ascii="Garamond" w:eastAsia="BlinkMacSystemFont" w:hAnsi="Garamond" w:cs="Arial"/>
        </w:rPr>
        <w:t>Lo aquí descrito también aplicará cuando la observación a la oferta provenga de otro Proponente y se hubiere realizado en el traslado del informe de evaluación.</w:t>
      </w:r>
    </w:p>
    <w:p w14:paraId="3DB061AB" w14:textId="77777777" w:rsidR="00C04C4B" w:rsidRPr="00C04C4B" w:rsidRDefault="00C04C4B" w:rsidP="00C04C4B">
      <w:pPr>
        <w:ind w:left="709"/>
        <w:jc w:val="both"/>
        <w:rPr>
          <w:rFonts w:ascii="Garamond" w:eastAsia="BlinkMacSystemFont" w:hAnsi="Garamond" w:cs="Arial"/>
        </w:rPr>
      </w:pPr>
    </w:p>
    <w:p w14:paraId="329FBEFB" w14:textId="77777777" w:rsidR="00C04C4B" w:rsidRPr="00C04C4B" w:rsidRDefault="00C04C4B" w:rsidP="00C04C4B">
      <w:pPr>
        <w:ind w:left="709"/>
        <w:contextualSpacing/>
        <w:jc w:val="both"/>
        <w:rPr>
          <w:rFonts w:ascii="Garamond" w:eastAsia="Arial" w:hAnsi="Garamond" w:cs="Arial"/>
          <w:lang w:eastAsia="es-ES"/>
        </w:rPr>
      </w:pPr>
      <w:r w:rsidRPr="00C04C4B">
        <w:rPr>
          <w:rFonts w:ascii="Garamond" w:eastAsia="Arial" w:hAnsi="Garamond" w:cs="Arial"/>
          <w:lang w:eastAsia="es-ES"/>
        </w:rPr>
        <w:t>Al momento de definir o modificar el cronograma del Proceso de Contratación la entidad deberá verificar que el día hábil siguiente a la finalización del periodo de traslado del informe de evaluación, no corresponda a un día festivo en Estados Unidos, con el objetivo de no afectar el proceso de definición del método de ponderación de las propuestas.</w:t>
      </w:r>
    </w:p>
    <w:p w14:paraId="356E5F34" w14:textId="77777777" w:rsidR="00C04C4B" w:rsidRPr="00C04C4B" w:rsidRDefault="00C04C4B" w:rsidP="00C04C4B">
      <w:pPr>
        <w:ind w:left="709"/>
        <w:contextualSpacing/>
        <w:jc w:val="both"/>
        <w:rPr>
          <w:rFonts w:ascii="Garamond" w:eastAsia="Arial" w:hAnsi="Garamond" w:cs="Arial"/>
          <w:lang w:eastAsia="es-ES"/>
        </w:rPr>
      </w:pPr>
    </w:p>
    <w:p w14:paraId="66471452" w14:textId="77777777" w:rsidR="00C04C4B" w:rsidRPr="00C04C4B" w:rsidRDefault="00C04C4B" w:rsidP="00C04C4B">
      <w:pPr>
        <w:ind w:left="720"/>
        <w:contextualSpacing/>
        <w:jc w:val="both"/>
        <w:rPr>
          <w:rFonts w:ascii="Garamond" w:eastAsia="Arial" w:hAnsi="Garamond" w:cs="Arial"/>
          <w:lang w:eastAsia="es-ES"/>
        </w:rPr>
      </w:pPr>
      <w:r w:rsidRPr="00C04C4B">
        <w:rPr>
          <w:rFonts w:ascii="Garamond" w:eastAsia="Arial" w:hAnsi="Garamond" w:cs="Arial"/>
          <w:lang w:eastAsia="es-ES"/>
        </w:rPr>
        <w:t xml:space="preserve">El método de ponderación se determinará de acuerdo con los rangos del siguiente cuadro, en función de la parte decimal -centavos- de la </w:t>
      </w:r>
      <w:proofErr w:type="spellStart"/>
      <w:r w:rsidRPr="00C04C4B">
        <w:rPr>
          <w:rFonts w:ascii="Garamond" w:eastAsia="Arial" w:hAnsi="Garamond" w:cs="Arial"/>
          <w:lang w:eastAsia="es-ES"/>
        </w:rPr>
        <w:t>TRM</w:t>
      </w:r>
      <w:proofErr w:type="spellEnd"/>
      <w:r w:rsidRPr="00C04C4B">
        <w:rPr>
          <w:rFonts w:ascii="Garamond" w:eastAsia="Arial" w:hAnsi="Garamond" w:cs="Arial"/>
          <w:lang w:eastAsia="es-ES"/>
        </w:rPr>
        <w:t>:</w:t>
      </w:r>
    </w:p>
    <w:p w14:paraId="4FE3841A" w14:textId="77777777" w:rsidR="00C04C4B" w:rsidRPr="00C04C4B" w:rsidRDefault="00C04C4B" w:rsidP="00C04C4B">
      <w:pPr>
        <w:ind w:left="720"/>
        <w:contextualSpacing/>
        <w:jc w:val="both"/>
        <w:rPr>
          <w:rFonts w:ascii="Garamond" w:eastAsia="Arial" w:hAnsi="Garamond" w:cs="Arial"/>
          <w:lang w:eastAsia="es-ES"/>
        </w:rPr>
      </w:pPr>
      <w:r w:rsidRPr="00C04C4B">
        <w:rPr>
          <w:rFonts w:ascii="Garamond" w:eastAsia="Arial" w:hAnsi="Garamond" w:cs="Arial"/>
          <w:lang w:eastAsia="es-ES"/>
        </w:rPr>
        <w:t xml:space="preserve"> </w:t>
      </w:r>
    </w:p>
    <w:tbl>
      <w:tblPr>
        <w:tblW w:w="6000" w:type="dxa"/>
        <w:jc w:val="center"/>
        <w:tblLayout w:type="fixed"/>
        <w:tblLook w:val="00A0" w:firstRow="1" w:lastRow="0" w:firstColumn="1" w:lastColumn="0" w:noHBand="0" w:noVBand="0"/>
      </w:tblPr>
      <w:tblGrid>
        <w:gridCol w:w="1620"/>
        <w:gridCol w:w="1365"/>
        <w:gridCol w:w="3015"/>
      </w:tblGrid>
      <w:tr w:rsidR="00C04C4B" w:rsidRPr="00C04C4B" w14:paraId="0B0D605C" w14:textId="77777777" w:rsidTr="00CE73D4">
        <w:trPr>
          <w:trHeight w:val="15"/>
          <w:tblHeader/>
          <w:jc w:val="center"/>
        </w:trPr>
        <w:tc>
          <w:tcPr>
            <w:tcW w:w="1620" w:type="dxa"/>
            <w:tcBorders>
              <w:top w:val="double" w:sz="4" w:space="0" w:color="auto"/>
              <w:left w:val="double" w:sz="4" w:space="0" w:color="auto"/>
              <w:bottom w:val="single" w:sz="8" w:space="0" w:color="auto"/>
              <w:right w:val="single" w:sz="8" w:space="0" w:color="auto"/>
            </w:tcBorders>
            <w:shd w:val="clear" w:color="auto" w:fill="262626" w:themeFill="text1" w:themeFillTint="D9"/>
            <w:vAlign w:val="center"/>
          </w:tcPr>
          <w:p w14:paraId="664FAC04" w14:textId="77777777" w:rsidR="00C04C4B" w:rsidRPr="00C04C4B" w:rsidRDefault="00C04C4B" w:rsidP="00CE73D4">
            <w:pPr>
              <w:jc w:val="center"/>
              <w:rPr>
                <w:rFonts w:ascii="Garamond" w:eastAsia="Arial" w:hAnsi="Garamond" w:cs="Arial"/>
                <w:b/>
                <w:bCs/>
              </w:rPr>
            </w:pPr>
            <w:r w:rsidRPr="00C04C4B">
              <w:rPr>
                <w:rFonts w:ascii="Garamond" w:eastAsia="Arial" w:hAnsi="Garamond" w:cs="Arial"/>
                <w:b/>
                <w:bCs/>
              </w:rPr>
              <w:t>Rango (inclusive)</w:t>
            </w:r>
          </w:p>
        </w:tc>
        <w:tc>
          <w:tcPr>
            <w:tcW w:w="1365" w:type="dxa"/>
            <w:tcBorders>
              <w:top w:val="double" w:sz="4" w:space="0" w:color="auto"/>
              <w:left w:val="single" w:sz="8" w:space="0" w:color="auto"/>
              <w:bottom w:val="single" w:sz="8" w:space="0" w:color="auto"/>
              <w:right w:val="single" w:sz="8" w:space="0" w:color="auto"/>
            </w:tcBorders>
            <w:shd w:val="clear" w:color="auto" w:fill="262626" w:themeFill="text1" w:themeFillTint="D9"/>
            <w:vAlign w:val="center"/>
          </w:tcPr>
          <w:p w14:paraId="1986F5BD" w14:textId="77777777" w:rsidR="00C04C4B" w:rsidRPr="00C04C4B" w:rsidRDefault="00C04C4B" w:rsidP="00CE73D4">
            <w:pPr>
              <w:jc w:val="center"/>
              <w:rPr>
                <w:rFonts w:ascii="Garamond" w:eastAsia="Arial" w:hAnsi="Garamond" w:cs="Arial"/>
                <w:b/>
                <w:bCs/>
              </w:rPr>
            </w:pPr>
            <w:r w:rsidRPr="00C04C4B">
              <w:rPr>
                <w:rFonts w:ascii="Garamond" w:eastAsia="Arial" w:hAnsi="Garamond" w:cs="Arial"/>
                <w:b/>
                <w:bCs/>
              </w:rPr>
              <w:t>Número</w:t>
            </w:r>
          </w:p>
        </w:tc>
        <w:tc>
          <w:tcPr>
            <w:tcW w:w="3015" w:type="dxa"/>
            <w:tcBorders>
              <w:top w:val="double" w:sz="4" w:space="0" w:color="auto"/>
              <w:left w:val="single" w:sz="8" w:space="0" w:color="auto"/>
              <w:bottom w:val="single" w:sz="8" w:space="0" w:color="auto"/>
              <w:right w:val="double" w:sz="4" w:space="0" w:color="auto"/>
            </w:tcBorders>
            <w:shd w:val="clear" w:color="auto" w:fill="262626" w:themeFill="text1" w:themeFillTint="D9"/>
            <w:vAlign w:val="center"/>
          </w:tcPr>
          <w:p w14:paraId="698E16CB" w14:textId="77777777" w:rsidR="00C04C4B" w:rsidRPr="00C04C4B" w:rsidRDefault="00C04C4B" w:rsidP="00CE73D4">
            <w:pPr>
              <w:jc w:val="center"/>
              <w:rPr>
                <w:rFonts w:ascii="Garamond" w:eastAsia="Arial" w:hAnsi="Garamond" w:cs="Arial"/>
                <w:b/>
                <w:bCs/>
              </w:rPr>
            </w:pPr>
            <w:r w:rsidRPr="00C04C4B">
              <w:rPr>
                <w:rFonts w:ascii="Garamond" w:eastAsia="Arial" w:hAnsi="Garamond" w:cs="Arial"/>
                <w:b/>
                <w:bCs/>
              </w:rPr>
              <w:t>Método</w:t>
            </w:r>
          </w:p>
        </w:tc>
      </w:tr>
      <w:tr w:rsidR="00C04C4B" w:rsidRPr="00C04C4B" w14:paraId="3B5CE3DB" w14:textId="77777777" w:rsidTr="00CE73D4">
        <w:trPr>
          <w:trHeight w:val="15"/>
          <w:jc w:val="center"/>
        </w:trPr>
        <w:tc>
          <w:tcPr>
            <w:tcW w:w="1620" w:type="dxa"/>
            <w:tcBorders>
              <w:top w:val="single" w:sz="8" w:space="0" w:color="auto"/>
              <w:left w:val="double" w:sz="4" w:space="0" w:color="auto"/>
              <w:bottom w:val="single" w:sz="8" w:space="0" w:color="auto"/>
              <w:right w:val="single" w:sz="8" w:space="0" w:color="auto"/>
            </w:tcBorders>
            <w:vAlign w:val="center"/>
          </w:tcPr>
          <w:p w14:paraId="1B367181" w14:textId="77777777" w:rsidR="00C04C4B" w:rsidRPr="00C04C4B" w:rsidRDefault="00C04C4B" w:rsidP="00CE73D4">
            <w:pPr>
              <w:jc w:val="center"/>
              <w:rPr>
                <w:rFonts w:ascii="Garamond" w:eastAsia="Arial" w:hAnsi="Garamond" w:cs="Arial"/>
              </w:rPr>
            </w:pPr>
            <w:r w:rsidRPr="00C04C4B">
              <w:rPr>
                <w:rFonts w:ascii="Garamond" w:eastAsia="Arial" w:hAnsi="Garamond" w:cs="Arial"/>
              </w:rPr>
              <w:t>De 0.00 a 0.24</w:t>
            </w:r>
          </w:p>
        </w:tc>
        <w:tc>
          <w:tcPr>
            <w:tcW w:w="1365" w:type="dxa"/>
            <w:tcBorders>
              <w:top w:val="single" w:sz="8" w:space="0" w:color="auto"/>
              <w:left w:val="single" w:sz="8" w:space="0" w:color="auto"/>
              <w:bottom w:val="single" w:sz="8" w:space="0" w:color="auto"/>
              <w:right w:val="single" w:sz="8" w:space="0" w:color="auto"/>
            </w:tcBorders>
            <w:vAlign w:val="center"/>
          </w:tcPr>
          <w:p w14:paraId="12AD31AA" w14:textId="77777777" w:rsidR="00C04C4B" w:rsidRPr="00C04C4B" w:rsidRDefault="00C04C4B" w:rsidP="00CE73D4">
            <w:pPr>
              <w:jc w:val="center"/>
              <w:rPr>
                <w:rFonts w:ascii="Garamond" w:eastAsia="Arial" w:hAnsi="Garamond" w:cs="Arial"/>
              </w:rPr>
            </w:pPr>
            <w:r w:rsidRPr="00C04C4B">
              <w:rPr>
                <w:rFonts w:ascii="Garamond" w:eastAsia="Arial" w:hAnsi="Garamond" w:cs="Arial"/>
              </w:rPr>
              <w:t>1</w:t>
            </w:r>
          </w:p>
        </w:tc>
        <w:tc>
          <w:tcPr>
            <w:tcW w:w="3015" w:type="dxa"/>
            <w:tcBorders>
              <w:top w:val="single" w:sz="8" w:space="0" w:color="auto"/>
              <w:left w:val="single" w:sz="8" w:space="0" w:color="auto"/>
              <w:bottom w:val="single" w:sz="8" w:space="0" w:color="auto"/>
              <w:right w:val="double" w:sz="4" w:space="0" w:color="auto"/>
            </w:tcBorders>
            <w:vAlign w:val="center"/>
          </w:tcPr>
          <w:p w14:paraId="19570B65" w14:textId="77777777" w:rsidR="00C04C4B" w:rsidRPr="00C04C4B" w:rsidRDefault="00C04C4B" w:rsidP="00CE73D4">
            <w:pPr>
              <w:jc w:val="both"/>
              <w:rPr>
                <w:rFonts w:ascii="Garamond" w:eastAsia="Arial" w:hAnsi="Garamond" w:cs="Arial"/>
              </w:rPr>
            </w:pPr>
            <w:r w:rsidRPr="00C04C4B">
              <w:rPr>
                <w:rFonts w:ascii="Garamond" w:eastAsia="Arial" w:hAnsi="Garamond" w:cs="Arial"/>
              </w:rPr>
              <w:t>Mediana con valor absoluto</w:t>
            </w:r>
          </w:p>
        </w:tc>
      </w:tr>
      <w:tr w:rsidR="00C04C4B" w:rsidRPr="00C04C4B" w14:paraId="46EA67FF" w14:textId="77777777" w:rsidTr="00CE73D4">
        <w:trPr>
          <w:trHeight w:val="30"/>
          <w:jc w:val="center"/>
        </w:trPr>
        <w:tc>
          <w:tcPr>
            <w:tcW w:w="1620" w:type="dxa"/>
            <w:tcBorders>
              <w:top w:val="single" w:sz="8" w:space="0" w:color="auto"/>
              <w:left w:val="double" w:sz="4" w:space="0" w:color="auto"/>
              <w:bottom w:val="single" w:sz="8" w:space="0" w:color="auto"/>
              <w:right w:val="single" w:sz="8" w:space="0" w:color="auto"/>
            </w:tcBorders>
            <w:vAlign w:val="center"/>
          </w:tcPr>
          <w:p w14:paraId="759E0AF1" w14:textId="77777777" w:rsidR="00C04C4B" w:rsidRPr="00C04C4B" w:rsidRDefault="00C04C4B" w:rsidP="00CE73D4">
            <w:pPr>
              <w:jc w:val="center"/>
              <w:rPr>
                <w:rFonts w:ascii="Garamond" w:eastAsia="Arial" w:hAnsi="Garamond" w:cs="Arial"/>
              </w:rPr>
            </w:pPr>
            <w:r w:rsidRPr="00C04C4B">
              <w:rPr>
                <w:rFonts w:ascii="Garamond" w:eastAsia="Arial" w:hAnsi="Garamond" w:cs="Arial"/>
              </w:rPr>
              <w:t>De 0.25 a 0.49</w:t>
            </w:r>
          </w:p>
        </w:tc>
        <w:tc>
          <w:tcPr>
            <w:tcW w:w="1365" w:type="dxa"/>
            <w:tcBorders>
              <w:top w:val="single" w:sz="8" w:space="0" w:color="auto"/>
              <w:left w:val="single" w:sz="8" w:space="0" w:color="auto"/>
              <w:bottom w:val="single" w:sz="8" w:space="0" w:color="auto"/>
              <w:right w:val="single" w:sz="8" w:space="0" w:color="auto"/>
            </w:tcBorders>
            <w:vAlign w:val="center"/>
          </w:tcPr>
          <w:p w14:paraId="4B16BD35" w14:textId="77777777" w:rsidR="00C04C4B" w:rsidRPr="00C04C4B" w:rsidRDefault="00C04C4B" w:rsidP="00CE73D4">
            <w:pPr>
              <w:jc w:val="center"/>
              <w:rPr>
                <w:rFonts w:ascii="Garamond" w:eastAsia="Arial" w:hAnsi="Garamond" w:cs="Arial"/>
              </w:rPr>
            </w:pPr>
            <w:r w:rsidRPr="00C04C4B">
              <w:rPr>
                <w:rFonts w:ascii="Garamond" w:eastAsia="Arial" w:hAnsi="Garamond" w:cs="Arial"/>
              </w:rPr>
              <w:t>2</w:t>
            </w:r>
          </w:p>
        </w:tc>
        <w:tc>
          <w:tcPr>
            <w:tcW w:w="3015" w:type="dxa"/>
            <w:tcBorders>
              <w:top w:val="single" w:sz="8" w:space="0" w:color="auto"/>
              <w:left w:val="single" w:sz="8" w:space="0" w:color="auto"/>
              <w:bottom w:val="single" w:sz="8" w:space="0" w:color="auto"/>
              <w:right w:val="double" w:sz="4" w:space="0" w:color="auto"/>
            </w:tcBorders>
            <w:vAlign w:val="center"/>
          </w:tcPr>
          <w:p w14:paraId="42656542" w14:textId="77777777" w:rsidR="00C04C4B" w:rsidRPr="00C04C4B" w:rsidRDefault="00C04C4B" w:rsidP="00CE73D4">
            <w:pPr>
              <w:jc w:val="both"/>
              <w:rPr>
                <w:rFonts w:ascii="Garamond" w:eastAsia="Arial" w:hAnsi="Garamond" w:cs="Arial"/>
              </w:rPr>
            </w:pPr>
            <w:r w:rsidRPr="00C04C4B">
              <w:rPr>
                <w:rFonts w:ascii="Garamond" w:eastAsia="Arial" w:hAnsi="Garamond" w:cs="Arial"/>
              </w:rPr>
              <w:t>Media geométrica</w:t>
            </w:r>
          </w:p>
        </w:tc>
      </w:tr>
      <w:tr w:rsidR="00C04C4B" w:rsidRPr="00C04C4B" w14:paraId="57C24FBF" w14:textId="77777777" w:rsidTr="00CE73D4">
        <w:trPr>
          <w:trHeight w:val="300"/>
          <w:jc w:val="center"/>
        </w:trPr>
        <w:tc>
          <w:tcPr>
            <w:tcW w:w="1620" w:type="dxa"/>
            <w:tcBorders>
              <w:top w:val="single" w:sz="8" w:space="0" w:color="auto"/>
              <w:left w:val="double" w:sz="4" w:space="0" w:color="auto"/>
              <w:bottom w:val="single" w:sz="8" w:space="0" w:color="auto"/>
              <w:right w:val="single" w:sz="8" w:space="0" w:color="auto"/>
            </w:tcBorders>
            <w:vAlign w:val="center"/>
          </w:tcPr>
          <w:p w14:paraId="29A4855E" w14:textId="77777777" w:rsidR="00C04C4B" w:rsidRPr="00C04C4B" w:rsidRDefault="00C04C4B" w:rsidP="00CE73D4">
            <w:pPr>
              <w:jc w:val="center"/>
              <w:rPr>
                <w:rFonts w:ascii="Garamond" w:eastAsia="Arial" w:hAnsi="Garamond" w:cs="Arial"/>
              </w:rPr>
            </w:pPr>
            <w:r w:rsidRPr="00C04C4B">
              <w:rPr>
                <w:rFonts w:ascii="Garamond" w:eastAsia="Arial" w:hAnsi="Garamond" w:cs="Arial"/>
              </w:rPr>
              <w:t>De 0.50 a 0.74</w:t>
            </w:r>
          </w:p>
        </w:tc>
        <w:tc>
          <w:tcPr>
            <w:tcW w:w="1365" w:type="dxa"/>
            <w:tcBorders>
              <w:top w:val="single" w:sz="8" w:space="0" w:color="auto"/>
              <w:left w:val="single" w:sz="8" w:space="0" w:color="auto"/>
              <w:bottom w:val="single" w:sz="8" w:space="0" w:color="auto"/>
              <w:right w:val="single" w:sz="8" w:space="0" w:color="auto"/>
            </w:tcBorders>
            <w:vAlign w:val="center"/>
          </w:tcPr>
          <w:p w14:paraId="279D37EC" w14:textId="77777777" w:rsidR="00C04C4B" w:rsidRPr="00C04C4B" w:rsidRDefault="00C04C4B" w:rsidP="00CE73D4">
            <w:pPr>
              <w:jc w:val="center"/>
              <w:rPr>
                <w:rFonts w:ascii="Garamond" w:eastAsia="Arial" w:hAnsi="Garamond" w:cs="Arial"/>
              </w:rPr>
            </w:pPr>
            <w:r w:rsidRPr="00C04C4B">
              <w:rPr>
                <w:rFonts w:ascii="Garamond" w:eastAsia="Arial" w:hAnsi="Garamond" w:cs="Arial"/>
              </w:rPr>
              <w:t>3</w:t>
            </w:r>
          </w:p>
        </w:tc>
        <w:tc>
          <w:tcPr>
            <w:tcW w:w="3015" w:type="dxa"/>
            <w:tcBorders>
              <w:top w:val="single" w:sz="8" w:space="0" w:color="auto"/>
              <w:left w:val="single" w:sz="8" w:space="0" w:color="auto"/>
              <w:bottom w:val="single" w:sz="8" w:space="0" w:color="auto"/>
              <w:right w:val="double" w:sz="4" w:space="0" w:color="auto"/>
            </w:tcBorders>
            <w:vAlign w:val="center"/>
          </w:tcPr>
          <w:p w14:paraId="55772B3B" w14:textId="77777777" w:rsidR="00C04C4B" w:rsidRPr="00C04C4B" w:rsidRDefault="00C04C4B" w:rsidP="00CE73D4">
            <w:pPr>
              <w:jc w:val="both"/>
              <w:rPr>
                <w:rFonts w:ascii="Garamond" w:eastAsia="Arial" w:hAnsi="Garamond" w:cs="Arial"/>
              </w:rPr>
            </w:pPr>
            <w:r w:rsidRPr="00C04C4B">
              <w:rPr>
                <w:rFonts w:ascii="Garamond" w:eastAsia="Arial" w:hAnsi="Garamond" w:cs="Arial"/>
              </w:rPr>
              <w:t>Media aritmética alta</w:t>
            </w:r>
          </w:p>
        </w:tc>
      </w:tr>
      <w:tr w:rsidR="00C04C4B" w:rsidRPr="00C04C4B" w14:paraId="019E1E58" w14:textId="77777777" w:rsidTr="00CE73D4">
        <w:trPr>
          <w:trHeight w:val="300"/>
          <w:jc w:val="center"/>
        </w:trPr>
        <w:tc>
          <w:tcPr>
            <w:tcW w:w="1620" w:type="dxa"/>
            <w:tcBorders>
              <w:top w:val="single" w:sz="8" w:space="0" w:color="auto"/>
              <w:left w:val="double" w:sz="4" w:space="0" w:color="auto"/>
              <w:bottom w:val="double" w:sz="4" w:space="0" w:color="auto"/>
              <w:right w:val="single" w:sz="8" w:space="0" w:color="auto"/>
            </w:tcBorders>
            <w:vAlign w:val="center"/>
          </w:tcPr>
          <w:p w14:paraId="547A4002" w14:textId="77777777" w:rsidR="00C04C4B" w:rsidRPr="00C04C4B" w:rsidRDefault="00C04C4B" w:rsidP="00CE73D4">
            <w:pPr>
              <w:jc w:val="center"/>
              <w:rPr>
                <w:rFonts w:ascii="Garamond" w:eastAsia="Arial" w:hAnsi="Garamond" w:cs="Arial"/>
              </w:rPr>
            </w:pPr>
            <w:r w:rsidRPr="00C04C4B">
              <w:rPr>
                <w:rFonts w:ascii="Garamond" w:eastAsia="Arial" w:hAnsi="Garamond" w:cs="Arial"/>
              </w:rPr>
              <w:t>De 0.75 a 0.99</w:t>
            </w:r>
          </w:p>
        </w:tc>
        <w:tc>
          <w:tcPr>
            <w:tcW w:w="1365" w:type="dxa"/>
            <w:tcBorders>
              <w:top w:val="single" w:sz="8" w:space="0" w:color="auto"/>
              <w:left w:val="single" w:sz="8" w:space="0" w:color="auto"/>
              <w:bottom w:val="double" w:sz="4" w:space="0" w:color="auto"/>
              <w:right w:val="single" w:sz="8" w:space="0" w:color="auto"/>
            </w:tcBorders>
            <w:vAlign w:val="center"/>
          </w:tcPr>
          <w:p w14:paraId="70F65C99" w14:textId="77777777" w:rsidR="00C04C4B" w:rsidRPr="00C04C4B" w:rsidRDefault="00C04C4B" w:rsidP="00CE73D4">
            <w:pPr>
              <w:jc w:val="center"/>
              <w:rPr>
                <w:rFonts w:ascii="Garamond" w:eastAsia="Arial" w:hAnsi="Garamond" w:cs="Arial"/>
              </w:rPr>
            </w:pPr>
            <w:r w:rsidRPr="00C04C4B">
              <w:rPr>
                <w:rFonts w:ascii="Garamond" w:eastAsia="Arial" w:hAnsi="Garamond" w:cs="Arial"/>
              </w:rPr>
              <w:t>4</w:t>
            </w:r>
          </w:p>
        </w:tc>
        <w:tc>
          <w:tcPr>
            <w:tcW w:w="3015" w:type="dxa"/>
            <w:tcBorders>
              <w:top w:val="single" w:sz="8" w:space="0" w:color="auto"/>
              <w:left w:val="single" w:sz="8" w:space="0" w:color="auto"/>
              <w:bottom w:val="double" w:sz="4" w:space="0" w:color="auto"/>
              <w:right w:val="double" w:sz="4" w:space="0" w:color="auto"/>
            </w:tcBorders>
            <w:vAlign w:val="center"/>
          </w:tcPr>
          <w:p w14:paraId="364B4B8D" w14:textId="77777777" w:rsidR="00C04C4B" w:rsidRPr="00C04C4B" w:rsidRDefault="00C04C4B" w:rsidP="00CE73D4">
            <w:pPr>
              <w:jc w:val="both"/>
              <w:rPr>
                <w:rFonts w:ascii="Garamond" w:eastAsia="Arial" w:hAnsi="Garamond" w:cs="Arial"/>
              </w:rPr>
            </w:pPr>
            <w:r w:rsidRPr="00C04C4B">
              <w:rPr>
                <w:rFonts w:ascii="Garamond" w:eastAsia="Arial" w:hAnsi="Garamond" w:cs="Arial"/>
              </w:rPr>
              <w:t>Media aritmética baja</w:t>
            </w:r>
          </w:p>
        </w:tc>
      </w:tr>
    </w:tbl>
    <w:p w14:paraId="29FEB956" w14:textId="77777777" w:rsidR="00C04C4B" w:rsidRPr="00C04C4B" w:rsidRDefault="00C04C4B" w:rsidP="00C04C4B">
      <w:pPr>
        <w:ind w:left="720"/>
        <w:contextualSpacing/>
        <w:jc w:val="both"/>
        <w:rPr>
          <w:rFonts w:ascii="Garamond" w:hAnsi="Garamond"/>
          <w:lang w:eastAsia="es-ES"/>
        </w:rPr>
      </w:pPr>
    </w:p>
    <w:p w14:paraId="2C18E7E5" w14:textId="77777777" w:rsidR="00C04C4B" w:rsidRPr="00C04C4B" w:rsidRDefault="00C04C4B" w:rsidP="00C04C4B">
      <w:pPr>
        <w:spacing w:after="160"/>
        <w:ind w:left="709"/>
        <w:jc w:val="both"/>
        <w:rPr>
          <w:rFonts w:ascii="Garamond" w:eastAsiaTheme="minorEastAsia" w:hAnsi="Garamond" w:cstheme="minorBidi"/>
          <w:lang w:val="es-MX" w:eastAsia="en-US"/>
        </w:rPr>
      </w:pPr>
      <w:r w:rsidRPr="00C04C4B">
        <w:rPr>
          <w:rFonts w:ascii="Garamond" w:eastAsiaTheme="minorEastAsia" w:hAnsi="Garamond" w:cstheme="minorBidi"/>
          <w:lang w:val="es-MX" w:eastAsia="en-US"/>
        </w:rPr>
        <w:t>En todos los casos se tendrá en cuenta hasta el séptimo (7°) decimal del valor obtenido como puntaje y las fórmulas se aplicarán con las propuestas que no han sido rechazadas y se encuentren válidas.</w:t>
      </w:r>
    </w:p>
    <w:p w14:paraId="53201B61" w14:textId="77777777" w:rsidR="00C04C4B" w:rsidRPr="00C04C4B" w:rsidRDefault="00C04C4B" w:rsidP="00A23238">
      <w:pPr>
        <w:pStyle w:val="Prrafodelista"/>
        <w:widowControl/>
        <w:numPr>
          <w:ilvl w:val="0"/>
          <w:numId w:val="37"/>
        </w:numPr>
        <w:spacing w:after="200"/>
        <w:contextualSpacing/>
        <w:rPr>
          <w:rFonts w:ascii="Garamond" w:eastAsiaTheme="minorEastAsia" w:hAnsi="Garamond" w:cstheme="minorBidi"/>
          <w:lang w:eastAsia="es-ES"/>
        </w:rPr>
      </w:pPr>
      <w:r w:rsidRPr="00C04C4B">
        <w:rPr>
          <w:rFonts w:ascii="Garamond" w:eastAsia="Arial" w:hAnsi="Garamond" w:cs="Arial"/>
          <w:lang w:eastAsia="es-ES"/>
        </w:rPr>
        <w:t xml:space="preserve">Dependiendo del método aleatorio establecido según la </w:t>
      </w:r>
      <w:proofErr w:type="spellStart"/>
      <w:r w:rsidRPr="00C04C4B">
        <w:rPr>
          <w:rFonts w:ascii="Garamond" w:eastAsia="Arial" w:hAnsi="Garamond" w:cs="Arial"/>
          <w:lang w:eastAsia="es-ES"/>
        </w:rPr>
        <w:t>TRM</w:t>
      </w:r>
      <w:proofErr w:type="spellEnd"/>
      <w:r w:rsidRPr="00C04C4B">
        <w:rPr>
          <w:rFonts w:ascii="Garamond" w:eastAsia="Arial" w:hAnsi="Garamond" w:cs="Arial"/>
          <w:lang w:eastAsia="es-ES"/>
        </w:rPr>
        <w:t xml:space="preserve">, cada uno de los Proponentes habilitados participarán con el valor del promedio de los contratos válidos aportados, que no fueron objeto de subsanación, según la metodología descrita para cada alternativa. </w:t>
      </w:r>
    </w:p>
    <w:p w14:paraId="11C740B1" w14:textId="77777777" w:rsidR="00C04C4B" w:rsidRPr="00C04C4B" w:rsidRDefault="00C04C4B" w:rsidP="00C04C4B">
      <w:pPr>
        <w:jc w:val="both"/>
        <w:rPr>
          <w:rFonts w:ascii="Garamond" w:eastAsia="Arial" w:hAnsi="Garamond" w:cs="Arial"/>
          <w:lang w:eastAsia="es-ES"/>
        </w:rPr>
      </w:pPr>
      <w:r w:rsidRPr="00C04C4B">
        <w:rPr>
          <w:rFonts w:ascii="Garamond" w:eastAsia="Arial" w:hAnsi="Garamond" w:cs="Arial"/>
          <w:lang w:eastAsia="es-ES"/>
        </w:rPr>
        <w:t xml:space="preserve">Las alternativas de evaluación son detalladas a continuación: </w:t>
      </w:r>
    </w:p>
    <w:p w14:paraId="240981B9" w14:textId="77777777" w:rsidR="00C04C4B" w:rsidRPr="00C04C4B" w:rsidRDefault="00C04C4B" w:rsidP="00C04C4B">
      <w:pPr>
        <w:jc w:val="both"/>
        <w:rPr>
          <w:rFonts w:ascii="Garamond" w:eastAsia="Arial" w:hAnsi="Garamond" w:cs="Arial"/>
          <w:lang w:eastAsia="es-ES"/>
        </w:rPr>
      </w:pPr>
    </w:p>
    <w:p w14:paraId="1BC24B42" w14:textId="77777777" w:rsidR="00C04C4B" w:rsidRPr="00C04C4B" w:rsidRDefault="00C04C4B" w:rsidP="00A23238">
      <w:pPr>
        <w:pStyle w:val="Prrafodelista"/>
        <w:widowControl/>
        <w:numPr>
          <w:ilvl w:val="0"/>
          <w:numId w:val="39"/>
        </w:numPr>
        <w:spacing w:after="200"/>
        <w:contextualSpacing/>
        <w:rPr>
          <w:rFonts w:ascii="Garamond" w:eastAsia="Arial" w:hAnsi="Garamond" w:cs="Arial"/>
          <w:b/>
          <w:bCs/>
          <w:lang w:eastAsia="es-ES"/>
        </w:rPr>
      </w:pPr>
      <w:r w:rsidRPr="00C04C4B">
        <w:rPr>
          <w:rFonts w:ascii="Garamond" w:eastAsia="Arial" w:hAnsi="Garamond" w:cs="Arial"/>
          <w:b/>
          <w:bCs/>
          <w:lang w:eastAsia="es-ES"/>
        </w:rPr>
        <w:t>Mediana con valor absoluto</w:t>
      </w:r>
    </w:p>
    <w:p w14:paraId="07CDED89" w14:textId="77777777" w:rsidR="00C04C4B" w:rsidRPr="00C04C4B" w:rsidRDefault="00C04C4B" w:rsidP="00C04C4B">
      <w:pPr>
        <w:jc w:val="both"/>
        <w:rPr>
          <w:rFonts w:ascii="Garamond" w:eastAsia="Arial" w:hAnsi="Garamond" w:cs="Arial"/>
          <w:lang w:eastAsia="es-ES"/>
        </w:rPr>
      </w:pPr>
      <w:r w:rsidRPr="00C04C4B">
        <w:rPr>
          <w:rFonts w:ascii="Garamond" w:eastAsia="Arial" w:hAnsi="Garamond" w:cs="Arial"/>
          <w:lang w:eastAsia="es-ES"/>
        </w:rPr>
        <w:lastRenderedPageBreak/>
        <w:t xml:space="preserve">La Entidad calculará el valor de la mediana con el promedio de los </w:t>
      </w:r>
      <w:proofErr w:type="spellStart"/>
      <w:r w:rsidRPr="00C04C4B">
        <w:rPr>
          <w:rFonts w:ascii="Garamond" w:eastAsia="Arial" w:hAnsi="Garamond" w:cs="Arial"/>
          <w:lang w:eastAsia="es-ES"/>
        </w:rPr>
        <w:t>SMMLV</w:t>
      </w:r>
      <w:proofErr w:type="spellEnd"/>
      <w:r w:rsidRPr="00C04C4B">
        <w:rPr>
          <w:rFonts w:ascii="Garamond" w:eastAsia="Arial" w:hAnsi="Garamond" w:cs="Arial"/>
          <w:lang w:eastAsia="es-ES"/>
        </w:rPr>
        <w:t xml:space="preserve"> de los contratos válidos aportados de las propuestas hábiles y que no fueron objeto de subsanación. En esta alternativa se entenderá por mediana de un grupo de valores el resultado del cálculo que se obtiene a través de la aplicación del siguiente proceso:</w:t>
      </w:r>
    </w:p>
    <w:p w14:paraId="021E49FC" w14:textId="77777777" w:rsidR="00C04C4B" w:rsidRPr="00C04C4B" w:rsidRDefault="00C04C4B" w:rsidP="00C04C4B">
      <w:pPr>
        <w:jc w:val="both"/>
        <w:rPr>
          <w:rFonts w:ascii="Garamond" w:eastAsia="Arial" w:hAnsi="Garamond" w:cs="Arial"/>
          <w:lang w:eastAsia="es-ES"/>
        </w:rPr>
      </w:pPr>
    </w:p>
    <w:p w14:paraId="5F08F846" w14:textId="77777777" w:rsidR="00C04C4B" w:rsidRPr="00C04C4B" w:rsidRDefault="00C04C4B" w:rsidP="00A23238">
      <w:pPr>
        <w:pStyle w:val="Prrafodelista"/>
        <w:widowControl/>
        <w:numPr>
          <w:ilvl w:val="0"/>
          <w:numId w:val="40"/>
        </w:numPr>
        <w:spacing w:after="200"/>
        <w:contextualSpacing/>
        <w:rPr>
          <w:rFonts w:ascii="Garamond" w:eastAsia="Arial" w:hAnsi="Garamond" w:cs="Arial"/>
          <w:lang w:eastAsia="es-ES"/>
        </w:rPr>
      </w:pPr>
      <w:r w:rsidRPr="00C04C4B">
        <w:rPr>
          <w:rFonts w:ascii="Garamond" w:eastAsia="Arial" w:hAnsi="Garamond" w:cs="Arial"/>
          <w:lang w:eastAsia="es-ES"/>
        </w:rPr>
        <w:t xml:space="preserve">La Entidad ordena los valores de los contratos válidos aportados de las propuestas hábiles </w:t>
      </w:r>
      <w:r w:rsidRPr="00C04C4B">
        <w:rPr>
          <w:rFonts w:ascii="Garamond" w:eastAsia="Arial" w:hAnsi="Garamond" w:cs="Arial"/>
          <w:lang w:val="es-MX" w:eastAsia="es-ES"/>
        </w:rPr>
        <w:t xml:space="preserve">de </w:t>
      </w:r>
      <w:r w:rsidRPr="00C04C4B">
        <w:rPr>
          <w:rFonts w:ascii="Garamond" w:eastAsia="Arial" w:hAnsi="Garamond" w:cs="Arial"/>
          <w:lang w:eastAsia="es-ES"/>
        </w:rPr>
        <w:t xml:space="preserve">manera descendente. </w:t>
      </w:r>
    </w:p>
    <w:p w14:paraId="76298A51" w14:textId="77777777" w:rsidR="00C04C4B" w:rsidRPr="00C04C4B" w:rsidRDefault="00C04C4B" w:rsidP="00A23238">
      <w:pPr>
        <w:pStyle w:val="Prrafodelista"/>
        <w:widowControl/>
        <w:numPr>
          <w:ilvl w:val="0"/>
          <w:numId w:val="40"/>
        </w:numPr>
        <w:spacing w:after="200"/>
        <w:contextualSpacing/>
        <w:rPr>
          <w:rFonts w:ascii="Garamond" w:eastAsia="Arial" w:hAnsi="Garamond" w:cs="Arial"/>
          <w:lang w:eastAsia="es-ES"/>
        </w:rPr>
      </w:pPr>
      <w:r w:rsidRPr="00C04C4B">
        <w:rPr>
          <w:rFonts w:ascii="Garamond" w:eastAsia="Arial" w:hAnsi="Garamond" w:cs="Arial"/>
          <w:lang w:eastAsia="es-ES"/>
        </w:rPr>
        <w:t xml:space="preserve">Si el número de valores es </w:t>
      </w:r>
      <w:r w:rsidRPr="00C04C4B">
        <w:rPr>
          <w:rFonts w:ascii="Garamond" w:eastAsia="Arial" w:hAnsi="Garamond" w:cs="Arial"/>
          <w:u w:val="single"/>
          <w:lang w:eastAsia="es-ES"/>
        </w:rPr>
        <w:t>impar</w:t>
      </w:r>
      <w:r w:rsidRPr="00C04C4B">
        <w:rPr>
          <w:rFonts w:ascii="Garamond" w:eastAsia="Arial" w:hAnsi="Garamond" w:cs="Arial"/>
          <w:lang w:eastAsia="es-ES"/>
        </w:rPr>
        <w:t xml:space="preserve">, la mediana corresponde al valor central. </w:t>
      </w:r>
    </w:p>
    <w:p w14:paraId="32AC440E" w14:textId="77777777" w:rsidR="00C04C4B" w:rsidRPr="00C04C4B" w:rsidRDefault="00C04C4B" w:rsidP="00A23238">
      <w:pPr>
        <w:pStyle w:val="Prrafodelista"/>
        <w:widowControl/>
        <w:numPr>
          <w:ilvl w:val="0"/>
          <w:numId w:val="40"/>
        </w:numPr>
        <w:spacing w:after="200"/>
        <w:contextualSpacing/>
        <w:rPr>
          <w:rFonts w:ascii="Garamond" w:eastAsia="Arial" w:hAnsi="Garamond" w:cs="Arial"/>
          <w:lang w:eastAsia="es-ES"/>
        </w:rPr>
      </w:pPr>
      <w:r w:rsidRPr="00C04C4B">
        <w:rPr>
          <w:rFonts w:ascii="Garamond" w:eastAsia="Arial" w:hAnsi="Garamond" w:cs="Arial"/>
          <w:lang w:eastAsia="es-ES"/>
        </w:rPr>
        <w:t xml:space="preserve">Si el número de valores es </w:t>
      </w:r>
      <w:r w:rsidRPr="00C04C4B">
        <w:rPr>
          <w:rFonts w:ascii="Garamond" w:eastAsia="Arial" w:hAnsi="Garamond" w:cs="Arial"/>
          <w:u w:val="single"/>
          <w:lang w:eastAsia="es-ES"/>
        </w:rPr>
        <w:t>par</w:t>
      </w:r>
      <w:r w:rsidRPr="00C04C4B">
        <w:rPr>
          <w:rFonts w:ascii="Garamond" w:eastAsia="Arial" w:hAnsi="Garamond" w:cs="Arial"/>
          <w:lang w:eastAsia="es-ES"/>
        </w:rPr>
        <w:t xml:space="preserve">, la mediana corresponde al promedio de los dos valores centrales. </w:t>
      </w:r>
    </w:p>
    <w:p w14:paraId="15BBA607" w14:textId="77777777" w:rsidR="00C04C4B" w:rsidRPr="00C04C4B" w:rsidRDefault="00C04C4B" w:rsidP="00C04C4B">
      <w:pPr>
        <w:jc w:val="both"/>
        <w:rPr>
          <w:rFonts w:ascii="Garamond" w:eastAsia="Arial" w:hAnsi="Garamond" w:cs="Arial"/>
          <w:lang w:eastAsia="es-ES"/>
        </w:rPr>
      </w:pPr>
      <w:r w:rsidRPr="00C04C4B">
        <w:rPr>
          <w:rFonts w:ascii="Garamond" w:eastAsia="Arial" w:hAnsi="Garamond" w:cs="Arial"/>
          <w:lang w:eastAsia="es-ES"/>
        </w:rPr>
        <w:t xml:space="preserve">Bajo este método la Entidad asignará el puntaje así: </w:t>
      </w:r>
    </w:p>
    <w:p w14:paraId="5ADD2552" w14:textId="77777777" w:rsidR="00C04C4B" w:rsidRPr="00C04C4B" w:rsidRDefault="00C04C4B" w:rsidP="00C04C4B">
      <w:pPr>
        <w:jc w:val="both"/>
        <w:rPr>
          <w:rFonts w:ascii="Garamond" w:eastAsia="Arial" w:hAnsi="Garamond" w:cs="Arial"/>
          <w:lang w:eastAsia="es-ES"/>
        </w:rPr>
      </w:pPr>
    </w:p>
    <w:p w14:paraId="70ED9F44" w14:textId="77777777" w:rsidR="00C04C4B" w:rsidRPr="00C04C4B" w:rsidRDefault="00C04C4B" w:rsidP="00A23238">
      <w:pPr>
        <w:widowControl/>
        <w:numPr>
          <w:ilvl w:val="0"/>
          <w:numId w:val="50"/>
        </w:numPr>
        <w:jc w:val="both"/>
        <w:rPr>
          <w:rFonts w:ascii="Garamond" w:eastAsiaTheme="minorEastAsia" w:hAnsi="Garamond" w:cstheme="minorBidi"/>
          <w:lang w:eastAsia="es-ES"/>
        </w:rPr>
      </w:pPr>
      <w:r w:rsidRPr="00C04C4B">
        <w:rPr>
          <w:rFonts w:ascii="Garamond" w:eastAsia="Arial" w:hAnsi="Garamond" w:cs="Arial"/>
          <w:iCs/>
          <w:lang w:eastAsia="es-ES"/>
        </w:rPr>
        <w:t xml:space="preserve">Si el número de valores de las propuestas hábiles es </w:t>
      </w:r>
      <w:r w:rsidRPr="00C04C4B">
        <w:rPr>
          <w:rFonts w:ascii="Garamond" w:eastAsia="Arial" w:hAnsi="Garamond" w:cs="Arial"/>
          <w:iCs/>
          <w:u w:val="single"/>
          <w:lang w:eastAsia="es-ES"/>
        </w:rPr>
        <w:t>impar</w:t>
      </w:r>
      <w:r w:rsidRPr="00C04C4B">
        <w:rPr>
          <w:rFonts w:ascii="Garamond" w:eastAsia="Arial" w:hAnsi="Garamond" w:cs="Arial"/>
          <w:iCs/>
          <w:lang w:eastAsia="es-ES"/>
        </w:rPr>
        <w:t xml:space="preserve">, el máximo puntaje será asignado a la propuesta que se encuentre en el valor de la mediana de </w:t>
      </w:r>
      <w:proofErr w:type="spellStart"/>
      <w:r w:rsidRPr="00C04C4B">
        <w:rPr>
          <w:rFonts w:ascii="Garamond" w:eastAsia="Arial" w:hAnsi="Garamond" w:cs="Arial"/>
          <w:iCs/>
          <w:lang w:eastAsia="es-ES"/>
        </w:rPr>
        <w:t>SMMLV</w:t>
      </w:r>
      <w:proofErr w:type="spellEnd"/>
      <w:r w:rsidRPr="00C04C4B">
        <w:rPr>
          <w:rFonts w:ascii="Garamond" w:eastAsia="Arial" w:hAnsi="Garamond" w:cs="Arial"/>
          <w:iCs/>
          <w:lang w:eastAsia="es-ES"/>
        </w:rPr>
        <w:t xml:space="preserve"> de los contratos válidos </w:t>
      </w:r>
      <w:r w:rsidRPr="00C04C4B">
        <w:rPr>
          <w:rFonts w:ascii="Garamond" w:eastAsia="Arial" w:hAnsi="Garamond" w:cs="Arial"/>
          <w:lang w:eastAsia="es-ES"/>
        </w:rPr>
        <w:t>de los Proponentes habilitados y que no fueron objeto de subsanación.</w:t>
      </w:r>
      <w:r w:rsidRPr="00C04C4B">
        <w:rPr>
          <w:rFonts w:ascii="Garamond" w:eastAsia="Arial" w:hAnsi="Garamond" w:cs="Arial"/>
          <w:iCs/>
          <w:lang w:eastAsia="es-ES"/>
        </w:rPr>
        <w:t xml:space="preserve"> Para las otras propuestas, se utiliza la siguiente fórmula de asignación de puntaje:</w:t>
      </w:r>
    </w:p>
    <w:p w14:paraId="6703E3CB" w14:textId="77777777" w:rsidR="00C04C4B" w:rsidRPr="00C04C4B" w:rsidRDefault="00C04C4B" w:rsidP="00C04C4B">
      <w:pPr>
        <w:ind w:left="720"/>
        <w:jc w:val="both"/>
        <w:rPr>
          <w:rFonts w:ascii="Garamond" w:eastAsiaTheme="minorEastAsia" w:hAnsi="Garamond" w:cstheme="minorBidi"/>
          <w:lang w:eastAsia="es-ES"/>
        </w:rPr>
      </w:pPr>
    </w:p>
    <w:p w14:paraId="1B46D8C3" w14:textId="77777777" w:rsidR="00C04C4B" w:rsidRPr="00C04C4B" w:rsidRDefault="00C04C4B" w:rsidP="00C04C4B">
      <w:pPr>
        <w:pStyle w:val="Prrafodelista"/>
        <w:jc w:val="center"/>
        <w:rPr>
          <w:rFonts w:ascii="Garamond" w:eastAsia="Arial" w:hAnsi="Garamond" w:cs="Arial"/>
          <w:lang w:eastAsia="es-ES"/>
        </w:rPr>
      </w:pPr>
      <m:oMathPara>
        <m:oMath>
          <m:sSub>
            <m:sSubPr>
              <m:ctrlPr>
                <w:rPr>
                  <w:rFonts w:ascii="Cambria Math" w:eastAsiaTheme="minorHAnsi" w:hAnsi="Cambria Math" w:cs="Arial"/>
                  <w:i/>
                </w:rPr>
              </m:ctrlPr>
            </m:sSubPr>
            <m:e>
              <m:r>
                <w:rPr>
                  <w:rFonts w:ascii="Cambria Math" w:eastAsiaTheme="minorHAnsi" w:hAnsi="Cambria Math" w:cs="Arial"/>
                </w:rPr>
                <m:t>Puntaje</m:t>
              </m:r>
            </m:e>
            <m:sub>
              <m:r>
                <w:rPr>
                  <w:rFonts w:ascii="Cambria Math" w:eastAsiaTheme="minorHAnsi" w:hAnsi="Cambria Math" w:cs="Arial"/>
                </w:rPr>
                <m:t>Asignar</m:t>
              </m:r>
            </m:sub>
          </m:sSub>
          <m:r>
            <w:rPr>
              <w:rFonts w:ascii="Cambria Math" w:eastAsiaTheme="minorHAnsi" w:hAnsi="Cambria Math" w:cs="Arial"/>
            </w:rPr>
            <m:t>=</m:t>
          </m:r>
          <m:d>
            <m:dPr>
              <m:begChr m:val="["/>
              <m:endChr m:val="]"/>
              <m:ctrlPr>
                <w:rPr>
                  <w:rFonts w:ascii="Cambria Math" w:eastAsiaTheme="minorHAnsi" w:hAnsi="Cambria Math" w:cs="Arial"/>
                  <w:i/>
                </w:rPr>
              </m:ctrlPr>
            </m:dPr>
            <m:e>
              <m:d>
                <m:dPr>
                  <m:begChr m:val="{"/>
                  <m:endChr m:val="}"/>
                  <m:ctrlPr>
                    <w:rPr>
                      <w:rFonts w:ascii="Cambria Math" w:eastAsiaTheme="minorHAnsi" w:hAnsi="Cambria Math" w:cs="Arial"/>
                      <w:i/>
                    </w:rPr>
                  </m:ctrlPr>
                </m:dPr>
                <m:e>
                  <m:r>
                    <w:rPr>
                      <w:rFonts w:ascii="Cambria Math" w:eastAsiaTheme="minorHAnsi" w:hAnsi="Cambria Math" w:cs="Arial"/>
                    </w:rPr>
                    <m:t>1-</m:t>
                  </m:r>
                  <m:d>
                    <m:dPr>
                      <m:begChr m:val="|"/>
                      <m:endChr m:val="|"/>
                      <m:ctrlPr>
                        <w:rPr>
                          <w:rFonts w:ascii="Cambria Math" w:eastAsiaTheme="minorHAnsi" w:hAnsi="Cambria Math" w:cs="Arial"/>
                          <w:i/>
                        </w:rPr>
                      </m:ctrlPr>
                    </m:dPr>
                    <m:e>
                      <m:f>
                        <m:fPr>
                          <m:ctrlPr>
                            <w:rPr>
                              <w:rFonts w:ascii="Cambria Math" w:eastAsiaTheme="minorHAnsi" w:hAnsi="Cambria Math" w:cs="Arial"/>
                              <w:i/>
                            </w:rPr>
                          </m:ctrlPr>
                        </m:fPr>
                        <m:num>
                          <m:r>
                            <w:rPr>
                              <w:rFonts w:ascii="Cambria Math" w:eastAsiaTheme="minorHAnsi" w:hAnsi="Cambria Math" w:cs="Arial"/>
                            </w:rPr>
                            <m:t>Me-</m:t>
                          </m:r>
                          <m:sSub>
                            <m:sSubPr>
                              <m:ctrlPr>
                                <w:rPr>
                                  <w:rFonts w:ascii="Cambria Math" w:eastAsiaTheme="minorHAnsi" w:hAnsi="Cambria Math" w:cs="Arial"/>
                                  <w:i/>
                                </w:rPr>
                              </m:ctrlPr>
                            </m:sSubPr>
                            <m:e>
                              <m:r>
                                <w:rPr>
                                  <w:rFonts w:ascii="Cambria Math" w:eastAsiaTheme="minorHAnsi" w:hAnsi="Cambria Math" w:cs="Arial"/>
                                </w:rPr>
                                <m:t>V</m:t>
                              </m:r>
                            </m:e>
                            <m:sub>
                              <m:r>
                                <w:rPr>
                                  <w:rFonts w:ascii="Cambria Math" w:eastAsiaTheme="minorHAnsi" w:hAnsi="Cambria Math" w:cs="Arial"/>
                                </w:rPr>
                                <m:t>i</m:t>
                              </m:r>
                            </m:sub>
                          </m:sSub>
                        </m:num>
                        <m:den>
                          <m:r>
                            <w:rPr>
                              <w:rFonts w:ascii="Cambria Math" w:eastAsiaTheme="minorHAnsi" w:hAnsi="Cambria Math" w:cs="Arial"/>
                            </w:rPr>
                            <m:t>Me</m:t>
                          </m:r>
                        </m:den>
                      </m:f>
                    </m:e>
                  </m:d>
                </m:e>
              </m:d>
              <m:r>
                <w:rPr>
                  <w:rFonts w:ascii="Cambria Math" w:eastAsiaTheme="minorHAnsi" w:hAnsi="Cambria Math" w:cs="Arial"/>
                </w:rPr>
                <m:t>*Puntaje máximo</m:t>
              </m:r>
            </m:e>
          </m:d>
        </m:oMath>
      </m:oMathPara>
    </w:p>
    <w:p w14:paraId="07F6678B" w14:textId="77777777" w:rsidR="00C04C4B" w:rsidRPr="00C04C4B" w:rsidRDefault="00C04C4B" w:rsidP="00C04C4B">
      <w:pPr>
        <w:jc w:val="both"/>
        <w:rPr>
          <w:rFonts w:ascii="Garamond" w:eastAsia="Arial" w:hAnsi="Garamond" w:cs="Arial"/>
          <w:lang w:eastAsia="es-ES"/>
        </w:rPr>
      </w:pPr>
      <w:r w:rsidRPr="00C04C4B">
        <w:rPr>
          <w:rFonts w:ascii="Garamond" w:eastAsia="Arial" w:hAnsi="Garamond" w:cs="Arial"/>
          <w:lang w:eastAsia="es-ES"/>
        </w:rPr>
        <w:tab/>
        <w:t xml:space="preserve">Donde: </w:t>
      </w:r>
    </w:p>
    <w:p w14:paraId="12EEE38A" w14:textId="77777777" w:rsidR="00C04C4B" w:rsidRPr="00C04C4B" w:rsidRDefault="00C04C4B" w:rsidP="00C04C4B">
      <w:pPr>
        <w:jc w:val="both"/>
        <w:rPr>
          <w:rFonts w:ascii="Garamond" w:eastAsia="Arial" w:hAnsi="Garamond" w:cs="Arial"/>
          <w:lang w:eastAsia="es-ES"/>
        </w:rPr>
      </w:pPr>
    </w:p>
    <w:p w14:paraId="719BE6C4" w14:textId="77777777" w:rsidR="00C04C4B" w:rsidRPr="00C04C4B" w:rsidRDefault="00C04C4B" w:rsidP="00A23238">
      <w:pPr>
        <w:pStyle w:val="Prrafodelista"/>
        <w:widowControl/>
        <w:numPr>
          <w:ilvl w:val="0"/>
          <w:numId w:val="38"/>
        </w:numPr>
        <w:spacing w:after="200"/>
        <w:ind w:left="1134" w:hanging="425"/>
        <w:contextualSpacing/>
        <w:rPr>
          <w:rFonts w:ascii="Garamond" w:eastAsiaTheme="minorEastAsia" w:hAnsi="Garamond" w:cstheme="minorBidi"/>
          <w:lang w:eastAsia="es-ES"/>
        </w:rPr>
      </w:pPr>
      <w:r w:rsidRPr="00C04C4B">
        <w:rPr>
          <w:rFonts w:ascii="Garamond" w:eastAsia="Arial" w:hAnsi="Garamond" w:cs="Arial"/>
          <w:lang w:eastAsia="es-ES"/>
        </w:rPr>
        <w:t xml:space="preserve">Me: Es la mediana calculada con los promedios de los contratos válidos y que no fueron objeto de subsanación de los Proponentes habilitados. </w:t>
      </w:r>
    </w:p>
    <w:p w14:paraId="04F0F1E8" w14:textId="77777777" w:rsidR="00C04C4B" w:rsidRPr="00C04C4B" w:rsidRDefault="00C04C4B" w:rsidP="00A23238">
      <w:pPr>
        <w:pStyle w:val="Prrafodelista"/>
        <w:widowControl/>
        <w:numPr>
          <w:ilvl w:val="0"/>
          <w:numId w:val="38"/>
        </w:numPr>
        <w:spacing w:after="200"/>
        <w:ind w:left="1134" w:hanging="425"/>
        <w:contextualSpacing/>
        <w:rPr>
          <w:rFonts w:ascii="Garamond" w:eastAsia="Arial" w:hAnsi="Garamond" w:cs="Arial"/>
          <w:lang w:eastAsia="es-ES"/>
        </w:rPr>
      </w:pPr>
      <w:r w:rsidRPr="00C04C4B">
        <w:rPr>
          <w:rFonts w:ascii="Garamond" w:eastAsia="Arial" w:hAnsi="Garamond" w:cs="Arial"/>
          <w:lang w:eastAsia="es-ES"/>
        </w:rPr>
        <w:t xml:space="preserve">Vi: Es el valor del promedio de los contratos válidos aportados en </w:t>
      </w:r>
      <w:proofErr w:type="spellStart"/>
      <w:r w:rsidRPr="00C04C4B">
        <w:rPr>
          <w:rFonts w:ascii="Garamond" w:eastAsia="Arial" w:hAnsi="Garamond" w:cs="Arial"/>
          <w:lang w:eastAsia="es-ES"/>
        </w:rPr>
        <w:t>SMMLV</w:t>
      </w:r>
      <w:proofErr w:type="spellEnd"/>
      <w:r w:rsidRPr="00C04C4B">
        <w:rPr>
          <w:rFonts w:ascii="Garamond" w:hAnsi="Garamond"/>
        </w:rPr>
        <w:t xml:space="preserve"> </w:t>
      </w:r>
      <w:r w:rsidRPr="00C04C4B">
        <w:rPr>
          <w:rFonts w:ascii="Garamond" w:eastAsia="Arial" w:hAnsi="Garamond" w:cs="Arial"/>
          <w:lang w:eastAsia="es-ES"/>
        </w:rPr>
        <w:t xml:space="preserve">de la propuesta “i” y que no fueron objeto de subsanación. </w:t>
      </w:r>
    </w:p>
    <w:p w14:paraId="2A7CF8C5" w14:textId="77777777" w:rsidR="00C04C4B" w:rsidRPr="00C04C4B" w:rsidRDefault="00C04C4B" w:rsidP="00A23238">
      <w:pPr>
        <w:widowControl/>
        <w:numPr>
          <w:ilvl w:val="0"/>
          <w:numId w:val="50"/>
        </w:numPr>
        <w:jc w:val="both"/>
        <w:rPr>
          <w:rFonts w:ascii="Garamond" w:eastAsia="Arial" w:hAnsi="Garamond" w:cs="Arial"/>
          <w:iCs/>
          <w:lang w:eastAsia="es-ES"/>
        </w:rPr>
      </w:pPr>
      <w:r w:rsidRPr="00C04C4B">
        <w:rPr>
          <w:rFonts w:ascii="Garamond" w:eastAsia="Arial" w:hAnsi="Garamond" w:cs="Arial"/>
          <w:lang w:eastAsia="es-ES"/>
        </w:rPr>
        <w:t xml:space="preserve">Si el número de valores de las propuestas hábiles es </w:t>
      </w:r>
      <w:r w:rsidRPr="00C04C4B">
        <w:rPr>
          <w:rFonts w:ascii="Garamond" w:eastAsia="Arial" w:hAnsi="Garamond" w:cs="Arial"/>
          <w:iCs/>
          <w:u w:val="single"/>
          <w:lang w:eastAsia="es-ES"/>
        </w:rPr>
        <w:t>par</w:t>
      </w:r>
      <w:r w:rsidRPr="00C04C4B">
        <w:rPr>
          <w:rFonts w:ascii="Garamond" w:eastAsia="Arial" w:hAnsi="Garamond" w:cs="Arial"/>
          <w:lang w:eastAsia="es-ES"/>
        </w:rPr>
        <w:t xml:space="preserve">, se asignará el máximo puntaje a la propuesta que se encuentre inmediatamente por debajo de la mediana. Para las otras propuestas, se aplica la siguiente fórmula: </w:t>
      </w:r>
    </w:p>
    <w:p w14:paraId="17606CD8" w14:textId="77777777" w:rsidR="00C04C4B" w:rsidRPr="00C04C4B" w:rsidRDefault="00C04C4B" w:rsidP="00C04C4B">
      <w:pPr>
        <w:pStyle w:val="Prrafodelista"/>
        <w:jc w:val="center"/>
        <w:rPr>
          <w:rFonts w:ascii="Garamond" w:eastAsia="Arial" w:hAnsi="Garamond" w:cs="Arial"/>
        </w:rPr>
      </w:pPr>
    </w:p>
    <w:p w14:paraId="693C54B0" w14:textId="77777777" w:rsidR="00C04C4B" w:rsidRPr="00C04C4B" w:rsidRDefault="00C04C4B" w:rsidP="00C04C4B">
      <w:pPr>
        <w:pStyle w:val="Prrafodelista"/>
        <w:jc w:val="center"/>
        <w:rPr>
          <w:rFonts w:ascii="Garamond" w:eastAsia="Arial" w:hAnsi="Garamond" w:cs="Arial"/>
          <w:i/>
          <w:lang w:eastAsia="es-ES"/>
        </w:rPr>
      </w:pPr>
      <m:oMathPara>
        <m:oMath>
          <m:sSub>
            <m:sSubPr>
              <m:ctrlPr>
                <w:rPr>
                  <w:rFonts w:ascii="Cambria Math" w:hAnsi="Cambria Math" w:cs="Arial"/>
                  <w:i/>
                </w:rPr>
              </m:ctrlPr>
            </m:sSubPr>
            <m:e>
              <m:r>
                <w:rPr>
                  <w:rFonts w:ascii="Cambria Math" w:hAnsi="Cambria Math" w:cs="Arial"/>
                </w:rPr>
                <m:t>Puntaje</m:t>
              </m:r>
            </m:e>
            <m:sub>
              <m:r>
                <w:rPr>
                  <w:rFonts w:ascii="Cambria Math" w:hAnsi="Cambria Math" w:cs="Arial"/>
                </w:rPr>
                <m:t>Asignar</m:t>
              </m:r>
            </m:sub>
          </m:sSub>
          <m:r>
            <w:rPr>
              <w:rFonts w:ascii="Cambria Math" w:hAnsi="Cambria Math" w:cs="Arial"/>
            </w:rPr>
            <m:t>=</m:t>
          </m:r>
          <m:d>
            <m:dPr>
              <m:begChr m:val="["/>
              <m:endChr m:val="]"/>
              <m:ctrlPr>
                <w:rPr>
                  <w:rFonts w:ascii="Cambria Math" w:hAnsi="Cambria Math" w:cs="Arial"/>
                  <w:i/>
                </w:rPr>
              </m:ctrlPr>
            </m:dPr>
            <m:e>
              <m:d>
                <m:dPr>
                  <m:begChr m:val="{"/>
                  <m:endChr m:val="}"/>
                  <m:ctrlPr>
                    <w:rPr>
                      <w:rFonts w:ascii="Cambria Math" w:hAnsi="Cambria Math" w:cs="Arial"/>
                      <w:i/>
                    </w:rPr>
                  </m:ctrlPr>
                </m:dPr>
                <m:e>
                  <m:r>
                    <w:rPr>
                      <w:rFonts w:ascii="Cambria Math" w:hAnsi="Cambria Math" w:cs="Arial"/>
                    </w:rPr>
                    <m:t>1-</m:t>
                  </m:r>
                  <m:d>
                    <m:dPr>
                      <m:begChr m:val="|"/>
                      <m:endChr m:val="|"/>
                      <m:ctrlPr>
                        <w:rPr>
                          <w:rFonts w:ascii="Cambria Math" w:hAnsi="Cambria Math" w:cs="Arial"/>
                          <w:i/>
                        </w:rPr>
                      </m:ctrlPr>
                    </m:dPr>
                    <m:e>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V</m:t>
                              </m:r>
                            </m:e>
                            <m:sub>
                              <m:r>
                                <w:rPr>
                                  <w:rFonts w:ascii="Cambria Math" w:hAnsi="Cambria Math" w:cs="Arial"/>
                                </w:rPr>
                                <m:t>Me</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i</m:t>
                              </m:r>
                            </m:sub>
                          </m:sSub>
                        </m:num>
                        <m:den>
                          <m:sSub>
                            <m:sSubPr>
                              <m:ctrlPr>
                                <w:rPr>
                                  <w:rFonts w:ascii="Cambria Math" w:hAnsi="Cambria Math" w:cs="Arial"/>
                                  <w:i/>
                                </w:rPr>
                              </m:ctrlPr>
                            </m:sSubPr>
                            <m:e>
                              <m:r>
                                <w:rPr>
                                  <w:rFonts w:ascii="Cambria Math" w:hAnsi="Cambria Math" w:cs="Arial"/>
                                </w:rPr>
                                <m:t>V</m:t>
                              </m:r>
                            </m:e>
                            <m:sub>
                              <m:r>
                                <w:rPr>
                                  <w:rFonts w:ascii="Cambria Math" w:hAnsi="Cambria Math" w:cs="Arial"/>
                                </w:rPr>
                                <m:t>Me</m:t>
                              </m:r>
                            </m:sub>
                          </m:sSub>
                        </m:den>
                      </m:f>
                    </m:e>
                  </m:d>
                </m:e>
              </m:d>
              <m:r>
                <w:rPr>
                  <w:rFonts w:ascii="Cambria Math" w:hAnsi="Cambria Math" w:cs="Arial"/>
                </w:rPr>
                <m:t>*Puntaje máximo</m:t>
              </m:r>
            </m:e>
          </m:d>
        </m:oMath>
      </m:oMathPara>
    </w:p>
    <w:p w14:paraId="4A89C2F2" w14:textId="77777777" w:rsidR="00C04C4B" w:rsidRPr="00C04C4B" w:rsidRDefault="00C04C4B" w:rsidP="00C04C4B">
      <w:pPr>
        <w:ind w:firstLine="709"/>
        <w:jc w:val="both"/>
        <w:rPr>
          <w:rFonts w:ascii="Garamond" w:eastAsia="Arial" w:hAnsi="Garamond" w:cs="Arial"/>
          <w:lang w:eastAsia="es-ES"/>
        </w:rPr>
      </w:pPr>
      <w:r w:rsidRPr="00C04C4B">
        <w:rPr>
          <w:rFonts w:ascii="Garamond" w:eastAsia="Arial" w:hAnsi="Garamond" w:cs="Arial"/>
          <w:lang w:eastAsia="es-ES"/>
        </w:rPr>
        <w:t xml:space="preserve">Donde: </w:t>
      </w:r>
    </w:p>
    <w:p w14:paraId="2208A40B" w14:textId="77777777" w:rsidR="00C04C4B" w:rsidRPr="00C04C4B" w:rsidRDefault="00C04C4B" w:rsidP="00C04C4B">
      <w:pPr>
        <w:ind w:firstLine="709"/>
        <w:jc w:val="both"/>
        <w:rPr>
          <w:rFonts w:ascii="Garamond" w:eastAsia="Arial" w:hAnsi="Garamond" w:cs="Arial"/>
          <w:lang w:eastAsia="es-ES"/>
        </w:rPr>
      </w:pPr>
    </w:p>
    <w:p w14:paraId="408A0393" w14:textId="77777777" w:rsidR="00C04C4B" w:rsidRPr="00C04C4B" w:rsidRDefault="00C04C4B" w:rsidP="00A23238">
      <w:pPr>
        <w:pStyle w:val="Prrafodelista"/>
        <w:widowControl/>
        <w:numPr>
          <w:ilvl w:val="0"/>
          <w:numId w:val="38"/>
        </w:numPr>
        <w:spacing w:after="200"/>
        <w:ind w:left="1134" w:hanging="425"/>
        <w:contextualSpacing/>
        <w:rPr>
          <w:rFonts w:ascii="Garamond" w:eastAsiaTheme="minorEastAsia" w:hAnsi="Garamond" w:cstheme="minorBidi"/>
          <w:lang w:eastAsia="es-ES"/>
        </w:rPr>
      </w:pPr>
      <w:proofErr w:type="spellStart"/>
      <w:r w:rsidRPr="00C04C4B">
        <w:rPr>
          <w:rFonts w:ascii="Garamond" w:eastAsia="Arial" w:hAnsi="Garamond" w:cs="Arial"/>
          <w:lang w:eastAsia="es-ES"/>
        </w:rPr>
        <w:t>V</w:t>
      </w:r>
      <w:r w:rsidRPr="00C04C4B">
        <w:rPr>
          <w:rFonts w:ascii="Garamond" w:eastAsia="Arial" w:hAnsi="Garamond" w:cs="Arial"/>
          <w:vertAlign w:val="subscript"/>
          <w:lang w:eastAsia="es-ES"/>
        </w:rPr>
        <w:t>ME</w:t>
      </w:r>
      <w:proofErr w:type="spellEnd"/>
      <w:r w:rsidRPr="00C04C4B">
        <w:rPr>
          <w:rFonts w:ascii="Garamond" w:eastAsia="Arial" w:hAnsi="Garamond" w:cs="Arial"/>
          <w:lang w:eastAsia="es-ES"/>
        </w:rPr>
        <w:t xml:space="preserve">: Es el valor promedio de los </w:t>
      </w:r>
      <w:proofErr w:type="spellStart"/>
      <w:r w:rsidRPr="00C04C4B">
        <w:rPr>
          <w:rFonts w:ascii="Garamond" w:eastAsia="Arial" w:hAnsi="Garamond" w:cs="Arial"/>
          <w:lang w:eastAsia="es-ES"/>
        </w:rPr>
        <w:t>SMMLV</w:t>
      </w:r>
      <w:proofErr w:type="spellEnd"/>
      <w:r w:rsidRPr="00C04C4B">
        <w:rPr>
          <w:rFonts w:ascii="Garamond" w:eastAsia="Arial" w:hAnsi="Garamond" w:cs="Arial"/>
          <w:lang w:eastAsia="es-ES"/>
        </w:rPr>
        <w:t xml:space="preserve"> de los contratos válidos y que no fueron objeto de subsanación de la propuesta válida inmediatamente por debajo de la mediana. </w:t>
      </w:r>
    </w:p>
    <w:p w14:paraId="09B8067B" w14:textId="77777777" w:rsidR="00C04C4B" w:rsidRPr="00C04C4B" w:rsidRDefault="00C04C4B" w:rsidP="00A23238">
      <w:pPr>
        <w:pStyle w:val="Prrafodelista"/>
        <w:widowControl/>
        <w:numPr>
          <w:ilvl w:val="0"/>
          <w:numId w:val="38"/>
        </w:numPr>
        <w:spacing w:after="200"/>
        <w:ind w:left="1134" w:hanging="425"/>
        <w:contextualSpacing/>
        <w:rPr>
          <w:rFonts w:ascii="Garamond" w:eastAsiaTheme="minorEastAsia" w:hAnsi="Garamond" w:cstheme="minorBidi"/>
          <w:lang w:eastAsia="es-ES"/>
        </w:rPr>
      </w:pPr>
      <w:r w:rsidRPr="00C04C4B">
        <w:rPr>
          <w:rFonts w:ascii="Garamond" w:eastAsia="Arial" w:hAnsi="Garamond" w:cs="Arial"/>
          <w:lang w:eastAsia="es-ES"/>
        </w:rPr>
        <w:t xml:space="preserve">Vi: Es el valor del promedio de los contratos válidos aportados en </w:t>
      </w:r>
      <w:proofErr w:type="spellStart"/>
      <w:r w:rsidRPr="00C04C4B">
        <w:rPr>
          <w:rFonts w:ascii="Garamond" w:eastAsia="Arial" w:hAnsi="Garamond" w:cs="Arial"/>
          <w:lang w:eastAsia="es-ES"/>
        </w:rPr>
        <w:t>SMMLV</w:t>
      </w:r>
      <w:proofErr w:type="spellEnd"/>
      <w:r w:rsidRPr="00C04C4B">
        <w:rPr>
          <w:rFonts w:ascii="Garamond" w:eastAsia="Arial" w:hAnsi="Garamond" w:cs="Arial"/>
          <w:lang w:eastAsia="es-ES"/>
        </w:rPr>
        <w:t xml:space="preserve"> y que no fueron objeto de subsanación de la propuesta “i”. </w:t>
      </w:r>
    </w:p>
    <w:p w14:paraId="73DD5B9F" w14:textId="77777777" w:rsidR="00C04C4B" w:rsidRPr="00C04C4B" w:rsidRDefault="00C04C4B" w:rsidP="00C04C4B">
      <w:pPr>
        <w:jc w:val="both"/>
        <w:rPr>
          <w:rFonts w:ascii="Garamond" w:eastAsia="Arial" w:hAnsi="Garamond" w:cs="Arial"/>
        </w:rPr>
      </w:pPr>
      <w:r w:rsidRPr="00C04C4B">
        <w:rPr>
          <w:rFonts w:ascii="Garamond" w:eastAsia="Arial" w:hAnsi="Garamond" w:cs="Arial"/>
          <w:b/>
        </w:rPr>
        <w:t>Nota 9:</w:t>
      </w:r>
      <w:r w:rsidRPr="00C04C4B">
        <w:rPr>
          <w:rFonts w:ascii="Garamond" w:eastAsia="Arial" w:hAnsi="Garamond" w:cs="Arial"/>
        </w:rPr>
        <w:t xml:space="preserve"> Cuando el resultado de la fórmula anterior sea un número negativo, se asignará 0,0 puntos.</w:t>
      </w:r>
    </w:p>
    <w:p w14:paraId="0E10D2C8" w14:textId="77777777" w:rsidR="00C04C4B" w:rsidRPr="00C04C4B" w:rsidRDefault="00C04C4B" w:rsidP="00C04C4B">
      <w:pPr>
        <w:jc w:val="both"/>
        <w:rPr>
          <w:rFonts w:ascii="Garamond" w:hAnsi="Garamond"/>
        </w:rPr>
      </w:pPr>
    </w:p>
    <w:p w14:paraId="36730B6A" w14:textId="77777777" w:rsidR="00C04C4B" w:rsidRPr="00C04C4B" w:rsidRDefault="00C04C4B" w:rsidP="00A23238">
      <w:pPr>
        <w:pStyle w:val="Prrafodelista"/>
        <w:widowControl/>
        <w:numPr>
          <w:ilvl w:val="0"/>
          <w:numId w:val="39"/>
        </w:numPr>
        <w:spacing w:after="200"/>
        <w:contextualSpacing/>
        <w:rPr>
          <w:rFonts w:ascii="Garamond" w:eastAsia="Arial" w:hAnsi="Garamond" w:cs="Arial"/>
          <w:b/>
          <w:bCs/>
          <w:lang w:eastAsia="es-ES"/>
        </w:rPr>
      </w:pPr>
      <w:r w:rsidRPr="00C04C4B">
        <w:rPr>
          <w:rFonts w:ascii="Garamond" w:eastAsia="Arial" w:hAnsi="Garamond" w:cs="Arial"/>
          <w:b/>
          <w:bCs/>
          <w:lang w:eastAsia="es-ES"/>
        </w:rPr>
        <w:t xml:space="preserve">Media Geométrica </w:t>
      </w:r>
    </w:p>
    <w:p w14:paraId="7689A34B" w14:textId="77777777" w:rsidR="00C04C4B" w:rsidRPr="00C04C4B" w:rsidRDefault="00C04C4B" w:rsidP="00C04C4B">
      <w:pPr>
        <w:jc w:val="both"/>
        <w:rPr>
          <w:rFonts w:ascii="Garamond" w:eastAsia="Arial" w:hAnsi="Garamond" w:cs="Arial"/>
          <w:lang w:eastAsia="es-ES"/>
        </w:rPr>
      </w:pPr>
      <w:r w:rsidRPr="00C04C4B">
        <w:rPr>
          <w:rFonts w:ascii="Garamond" w:eastAsia="Arial" w:hAnsi="Garamond" w:cs="Arial"/>
          <w:lang w:eastAsia="es-ES"/>
        </w:rPr>
        <w:lastRenderedPageBreak/>
        <w:t xml:space="preserve">Para calcular la Media Geométrica se tomará el valor promedio de los </w:t>
      </w:r>
      <w:proofErr w:type="spellStart"/>
      <w:r w:rsidRPr="00C04C4B">
        <w:rPr>
          <w:rFonts w:ascii="Garamond" w:eastAsia="Arial" w:hAnsi="Garamond" w:cs="Arial"/>
          <w:lang w:eastAsia="es-ES"/>
        </w:rPr>
        <w:t>SMMLV</w:t>
      </w:r>
      <w:proofErr w:type="spellEnd"/>
      <w:r w:rsidRPr="00C04C4B">
        <w:rPr>
          <w:rFonts w:ascii="Garamond" w:eastAsia="Arial" w:hAnsi="Garamond" w:cs="Arial"/>
          <w:lang w:eastAsia="es-ES"/>
        </w:rPr>
        <w:t xml:space="preserve"> de los contratos válidos aportados de las propuestas hábiles y que no fueron objeto de subsanación para el factor de ponderación para la asignación del puntaje de conformidad con el siguiente procedimiento:</w:t>
      </w:r>
    </w:p>
    <w:p w14:paraId="194A6085" w14:textId="77777777" w:rsidR="00C04C4B" w:rsidRPr="00C04C4B" w:rsidRDefault="00C04C4B" w:rsidP="00C04C4B">
      <w:pPr>
        <w:jc w:val="both"/>
        <w:rPr>
          <w:rFonts w:ascii="Garamond" w:eastAsia="Arial" w:hAnsi="Garamond" w:cs="Arial"/>
          <w:lang w:eastAsia="es-ES"/>
        </w:rPr>
      </w:pPr>
    </w:p>
    <w:p w14:paraId="556593EC" w14:textId="77777777" w:rsidR="00C04C4B" w:rsidRPr="00C04C4B" w:rsidRDefault="00C04C4B" w:rsidP="00C04C4B">
      <w:pPr>
        <w:jc w:val="center"/>
        <w:rPr>
          <w:rFonts w:ascii="Garamond" w:eastAsia="Arial" w:hAnsi="Garamond" w:cs="Arial"/>
          <w:lang w:eastAsia="es-ES"/>
        </w:rPr>
      </w:pPr>
      <m:oMathPara>
        <m:oMath>
          <m:r>
            <w:rPr>
              <w:rFonts w:ascii="Cambria Math" w:eastAsia="Arial" w:hAnsi="Cambria Math" w:cs="Arial"/>
              <w:lang w:eastAsia="es-ES"/>
            </w:rPr>
            <m:t>MG=</m:t>
          </m:r>
          <m:rad>
            <m:radPr>
              <m:ctrlPr>
                <w:rPr>
                  <w:rFonts w:ascii="Cambria Math" w:eastAsia="Arial" w:hAnsi="Cambria Math" w:cs="Arial"/>
                  <w:i/>
                  <w:lang w:eastAsia="es-ES"/>
                </w:rPr>
              </m:ctrlPr>
            </m:radPr>
            <m:deg>
              <m:r>
                <w:rPr>
                  <w:rFonts w:ascii="Cambria Math" w:eastAsia="Arial" w:hAnsi="Cambria Math" w:cs="Arial"/>
                  <w:lang w:eastAsia="es-ES"/>
                </w:rPr>
                <m:t>n</m:t>
              </m:r>
            </m:deg>
            <m:e>
              <m:sSub>
                <m:sSubPr>
                  <m:ctrlPr>
                    <w:rPr>
                      <w:rFonts w:ascii="Cambria Math" w:eastAsia="Arial" w:hAnsi="Cambria Math" w:cs="Arial"/>
                      <w:i/>
                      <w:lang w:eastAsia="es-ES"/>
                    </w:rPr>
                  </m:ctrlPr>
                </m:sSubPr>
                <m:e>
                  <m:r>
                    <w:rPr>
                      <w:rFonts w:ascii="Cambria Math" w:eastAsia="Arial" w:hAnsi="Cambria Math" w:cs="Arial"/>
                      <w:lang w:eastAsia="es-ES"/>
                    </w:rPr>
                    <m:t>V</m:t>
                  </m:r>
                </m:e>
                <m:sub>
                  <m:r>
                    <w:rPr>
                      <w:rFonts w:ascii="Cambria Math" w:eastAsia="Arial" w:hAnsi="Cambria Math" w:cs="Arial"/>
                      <w:lang w:eastAsia="es-ES"/>
                    </w:rPr>
                    <m:t>1</m:t>
                  </m:r>
                </m:sub>
              </m:sSub>
              <m:r>
                <w:rPr>
                  <w:rFonts w:ascii="Cambria Math" w:eastAsia="Arial" w:hAnsi="Cambria Math" w:cs="Arial"/>
                  <w:lang w:eastAsia="es-ES"/>
                </w:rPr>
                <m:t>*</m:t>
              </m:r>
              <m:sSub>
                <m:sSubPr>
                  <m:ctrlPr>
                    <w:rPr>
                      <w:rFonts w:ascii="Cambria Math" w:eastAsia="Arial" w:hAnsi="Cambria Math" w:cs="Arial"/>
                      <w:i/>
                      <w:lang w:eastAsia="es-ES"/>
                    </w:rPr>
                  </m:ctrlPr>
                </m:sSubPr>
                <m:e>
                  <m:r>
                    <w:rPr>
                      <w:rFonts w:ascii="Cambria Math" w:eastAsia="Arial" w:hAnsi="Cambria Math" w:cs="Arial"/>
                      <w:lang w:eastAsia="es-ES"/>
                    </w:rPr>
                    <m:t>V</m:t>
                  </m:r>
                </m:e>
                <m:sub>
                  <m:r>
                    <w:rPr>
                      <w:rFonts w:ascii="Cambria Math" w:eastAsia="Arial" w:hAnsi="Cambria Math" w:cs="Arial"/>
                      <w:lang w:eastAsia="es-ES"/>
                    </w:rPr>
                    <m:t>2</m:t>
                  </m:r>
                </m:sub>
              </m:sSub>
              <m:r>
                <w:rPr>
                  <w:rFonts w:ascii="Cambria Math" w:eastAsia="Arial" w:hAnsi="Cambria Math" w:cs="Arial"/>
                  <w:lang w:eastAsia="es-ES"/>
                </w:rPr>
                <m:t>*</m:t>
              </m:r>
              <m:sSub>
                <m:sSubPr>
                  <m:ctrlPr>
                    <w:rPr>
                      <w:rFonts w:ascii="Cambria Math" w:eastAsia="Arial" w:hAnsi="Cambria Math" w:cs="Arial"/>
                      <w:i/>
                      <w:lang w:eastAsia="es-ES"/>
                    </w:rPr>
                  </m:ctrlPr>
                </m:sSubPr>
                <m:e>
                  <m:r>
                    <w:rPr>
                      <w:rFonts w:ascii="Cambria Math" w:eastAsia="Arial" w:hAnsi="Cambria Math" w:cs="Arial"/>
                      <w:lang w:eastAsia="es-ES"/>
                    </w:rPr>
                    <m:t>V</m:t>
                  </m:r>
                </m:e>
                <m:sub>
                  <m:r>
                    <w:rPr>
                      <w:rFonts w:ascii="Cambria Math" w:eastAsia="Arial" w:hAnsi="Cambria Math" w:cs="Arial"/>
                      <w:lang w:eastAsia="es-ES"/>
                    </w:rPr>
                    <m:t>3</m:t>
                  </m:r>
                </m:sub>
              </m:sSub>
              <m:r>
                <w:rPr>
                  <w:rFonts w:ascii="Cambria Math" w:eastAsia="Arial" w:hAnsi="Cambria Math" w:cs="Arial"/>
                  <w:lang w:eastAsia="es-ES"/>
                </w:rPr>
                <m:t>*…*</m:t>
              </m:r>
              <m:sSub>
                <m:sSubPr>
                  <m:ctrlPr>
                    <w:rPr>
                      <w:rFonts w:ascii="Cambria Math" w:eastAsia="Arial" w:hAnsi="Cambria Math" w:cs="Arial"/>
                      <w:i/>
                      <w:lang w:eastAsia="es-ES"/>
                    </w:rPr>
                  </m:ctrlPr>
                </m:sSubPr>
                <m:e>
                  <m:r>
                    <w:rPr>
                      <w:rFonts w:ascii="Cambria Math" w:eastAsia="Arial" w:hAnsi="Cambria Math" w:cs="Arial"/>
                      <w:lang w:eastAsia="es-ES"/>
                    </w:rPr>
                    <m:t>V</m:t>
                  </m:r>
                </m:e>
                <m:sub>
                  <m:r>
                    <w:rPr>
                      <w:rFonts w:ascii="Cambria Math" w:eastAsia="Arial" w:hAnsi="Cambria Math" w:cs="Arial"/>
                      <w:lang w:eastAsia="es-ES"/>
                    </w:rPr>
                    <m:t>n</m:t>
                  </m:r>
                </m:sub>
              </m:sSub>
            </m:e>
          </m:rad>
        </m:oMath>
      </m:oMathPara>
    </w:p>
    <w:p w14:paraId="34E8BB1F" w14:textId="77777777" w:rsidR="00C04C4B" w:rsidRPr="00C04C4B" w:rsidRDefault="00C04C4B" w:rsidP="00C04C4B">
      <w:pPr>
        <w:jc w:val="both"/>
        <w:rPr>
          <w:rFonts w:ascii="Garamond" w:eastAsia="Arial" w:hAnsi="Garamond" w:cs="Arial"/>
          <w:lang w:eastAsia="es-ES"/>
        </w:rPr>
      </w:pPr>
      <w:r w:rsidRPr="00C04C4B">
        <w:rPr>
          <w:rFonts w:ascii="Garamond" w:eastAsia="Arial" w:hAnsi="Garamond" w:cs="Arial"/>
          <w:lang w:eastAsia="es-ES"/>
        </w:rPr>
        <w:t xml:space="preserve">Donde: </w:t>
      </w:r>
    </w:p>
    <w:p w14:paraId="5F5F6DCD" w14:textId="77777777" w:rsidR="00C04C4B" w:rsidRPr="00C04C4B" w:rsidRDefault="00C04C4B" w:rsidP="00C04C4B">
      <w:pPr>
        <w:jc w:val="both"/>
        <w:rPr>
          <w:rFonts w:ascii="Garamond" w:eastAsia="Arial" w:hAnsi="Garamond" w:cs="Arial"/>
          <w:lang w:eastAsia="es-ES"/>
        </w:rPr>
      </w:pPr>
    </w:p>
    <w:p w14:paraId="6B042DA2" w14:textId="77777777" w:rsidR="00C04C4B" w:rsidRPr="00C04C4B" w:rsidRDefault="00C04C4B" w:rsidP="00A23238">
      <w:pPr>
        <w:widowControl/>
        <w:numPr>
          <w:ilvl w:val="0"/>
          <w:numId w:val="41"/>
        </w:numPr>
        <w:jc w:val="both"/>
        <w:rPr>
          <w:rFonts w:ascii="Garamond" w:eastAsiaTheme="minorEastAsia" w:hAnsi="Garamond" w:cstheme="minorBidi"/>
          <w:lang w:eastAsia="es-ES"/>
        </w:rPr>
      </w:pPr>
      <w:r w:rsidRPr="00C04C4B">
        <w:rPr>
          <w:rFonts w:ascii="Garamond" w:eastAsia="Arial" w:hAnsi="Garamond" w:cs="Arial"/>
          <w:lang w:eastAsia="es-ES"/>
        </w:rPr>
        <w:t>MG:</w:t>
      </w:r>
      <w:r w:rsidRPr="00C04C4B">
        <w:rPr>
          <w:rFonts w:ascii="Garamond" w:eastAsia="Arial" w:hAnsi="Garamond"/>
        </w:rPr>
        <w:t xml:space="preserve"> </w:t>
      </w:r>
      <w:r w:rsidRPr="00C04C4B">
        <w:rPr>
          <w:rFonts w:ascii="Garamond" w:eastAsia="Arial" w:hAnsi="Garamond" w:cs="Arial"/>
          <w:lang w:eastAsia="es-ES"/>
        </w:rPr>
        <w:t xml:space="preserve">Es la media geométrica del promedio de los </w:t>
      </w:r>
      <w:proofErr w:type="spellStart"/>
      <w:r w:rsidRPr="00C04C4B">
        <w:rPr>
          <w:rFonts w:ascii="Garamond" w:eastAsia="Arial" w:hAnsi="Garamond" w:cs="Arial"/>
          <w:lang w:eastAsia="es-ES"/>
        </w:rPr>
        <w:t>SMMLV</w:t>
      </w:r>
      <w:proofErr w:type="spellEnd"/>
      <w:r w:rsidRPr="00C04C4B">
        <w:rPr>
          <w:rFonts w:ascii="Garamond" w:eastAsia="Arial" w:hAnsi="Garamond" w:cs="Arial"/>
          <w:lang w:eastAsia="es-ES"/>
        </w:rPr>
        <w:t xml:space="preserve"> de los contratos válidos y que no fueron objeto de subsanación de las propuestas hábiles. </w:t>
      </w:r>
    </w:p>
    <w:p w14:paraId="1A5789BA" w14:textId="77777777" w:rsidR="00C04C4B" w:rsidRPr="00C04C4B" w:rsidRDefault="00C04C4B" w:rsidP="00A23238">
      <w:pPr>
        <w:widowControl/>
        <w:numPr>
          <w:ilvl w:val="0"/>
          <w:numId w:val="41"/>
        </w:numPr>
        <w:jc w:val="both"/>
        <w:rPr>
          <w:rFonts w:ascii="Garamond" w:eastAsiaTheme="minorEastAsia" w:hAnsi="Garamond" w:cstheme="minorBidi"/>
          <w:lang w:eastAsia="es-ES"/>
        </w:rPr>
      </w:pPr>
      <w:r w:rsidRPr="00C04C4B">
        <w:rPr>
          <w:rFonts w:ascii="Garamond" w:eastAsia="Arial" w:hAnsi="Garamond" w:cs="Arial"/>
          <w:lang w:eastAsia="es-ES"/>
        </w:rPr>
        <w:t xml:space="preserve">V1: Es el valor promedio de los </w:t>
      </w:r>
      <w:proofErr w:type="spellStart"/>
      <w:r w:rsidRPr="00C04C4B">
        <w:rPr>
          <w:rFonts w:ascii="Garamond" w:eastAsia="Arial" w:hAnsi="Garamond" w:cs="Arial"/>
          <w:lang w:eastAsia="es-ES"/>
        </w:rPr>
        <w:t>SMMLV</w:t>
      </w:r>
      <w:proofErr w:type="spellEnd"/>
      <w:r w:rsidRPr="00C04C4B">
        <w:rPr>
          <w:rFonts w:ascii="Garamond" w:eastAsia="Arial" w:hAnsi="Garamond" w:cs="Arial"/>
          <w:lang w:eastAsia="es-ES"/>
        </w:rPr>
        <w:t xml:space="preserve"> de los contratos válidos de una propuesta habilitada y que no fueron objeto de subsanación.  </w:t>
      </w:r>
    </w:p>
    <w:p w14:paraId="2B4B7160" w14:textId="77777777" w:rsidR="00C04C4B" w:rsidRPr="00C04C4B" w:rsidRDefault="00C04C4B" w:rsidP="00A23238">
      <w:pPr>
        <w:widowControl/>
        <w:numPr>
          <w:ilvl w:val="0"/>
          <w:numId w:val="41"/>
        </w:numPr>
        <w:jc w:val="both"/>
        <w:rPr>
          <w:rFonts w:ascii="Garamond" w:eastAsia="Arial" w:hAnsi="Garamond" w:cs="Arial"/>
          <w:lang w:eastAsia="es-ES"/>
        </w:rPr>
      </w:pPr>
      <w:proofErr w:type="spellStart"/>
      <w:r w:rsidRPr="00C04C4B">
        <w:rPr>
          <w:rFonts w:ascii="Garamond" w:eastAsia="Arial" w:hAnsi="Garamond" w:cs="Arial"/>
          <w:lang w:eastAsia="es-ES"/>
        </w:rPr>
        <w:t>Vn</w:t>
      </w:r>
      <w:proofErr w:type="spellEnd"/>
      <w:r w:rsidRPr="00C04C4B">
        <w:rPr>
          <w:rFonts w:ascii="Garamond" w:eastAsia="Arial" w:hAnsi="Garamond" w:cs="Arial"/>
          <w:lang w:eastAsia="es-ES"/>
        </w:rPr>
        <w:t xml:space="preserve">: Es el valor promedio de los </w:t>
      </w:r>
      <w:proofErr w:type="spellStart"/>
      <w:r w:rsidRPr="00C04C4B">
        <w:rPr>
          <w:rFonts w:ascii="Garamond" w:eastAsia="Arial" w:hAnsi="Garamond" w:cs="Arial"/>
          <w:lang w:eastAsia="es-ES"/>
        </w:rPr>
        <w:t>SMMLV</w:t>
      </w:r>
      <w:proofErr w:type="spellEnd"/>
      <w:r w:rsidRPr="00C04C4B">
        <w:rPr>
          <w:rFonts w:ascii="Garamond" w:eastAsia="Arial" w:hAnsi="Garamond" w:cs="Arial"/>
          <w:lang w:eastAsia="es-ES"/>
        </w:rPr>
        <w:t xml:space="preserve"> de los contratos válidos</w:t>
      </w:r>
      <w:r w:rsidRPr="00C04C4B">
        <w:rPr>
          <w:rFonts w:ascii="Garamond" w:eastAsia="Arial" w:hAnsi="Garamond" w:cs="Arial"/>
          <w:lang w:val="es-MX" w:eastAsia="es-ES"/>
        </w:rPr>
        <w:t xml:space="preserve"> </w:t>
      </w:r>
      <w:r w:rsidRPr="00C04C4B">
        <w:rPr>
          <w:rFonts w:ascii="Garamond" w:eastAsia="Arial" w:hAnsi="Garamond" w:cs="Arial"/>
          <w:lang w:eastAsia="es-ES"/>
        </w:rPr>
        <w:t xml:space="preserve">de la propuesta “n” habilitada y que no fueron objeto de subsanación. </w:t>
      </w:r>
    </w:p>
    <w:p w14:paraId="08492A53" w14:textId="77777777" w:rsidR="00C04C4B" w:rsidRPr="00C04C4B" w:rsidRDefault="00C04C4B" w:rsidP="00A23238">
      <w:pPr>
        <w:widowControl/>
        <w:numPr>
          <w:ilvl w:val="0"/>
          <w:numId w:val="41"/>
        </w:numPr>
        <w:jc w:val="both"/>
        <w:rPr>
          <w:rFonts w:ascii="Garamond" w:eastAsia="Arial" w:hAnsi="Garamond" w:cs="Arial"/>
          <w:lang w:eastAsia="es-ES"/>
        </w:rPr>
      </w:pPr>
      <w:r w:rsidRPr="00C04C4B">
        <w:rPr>
          <w:rFonts w:ascii="Garamond" w:eastAsia="Arial" w:hAnsi="Garamond" w:cs="Arial"/>
          <w:lang w:eastAsia="es-ES"/>
        </w:rPr>
        <w:t>n: La cantidad total de propuestas habilitadas</w:t>
      </w:r>
      <w:r w:rsidRPr="00C04C4B">
        <w:rPr>
          <w:rFonts w:ascii="Garamond" w:hAnsi="Garamond" w:cs="Arial"/>
          <w:lang w:val="es-MX"/>
        </w:rPr>
        <w:t>.</w:t>
      </w:r>
    </w:p>
    <w:p w14:paraId="79E95956" w14:textId="77777777" w:rsidR="00C04C4B" w:rsidRPr="00C04C4B" w:rsidRDefault="00C04C4B" w:rsidP="00C04C4B">
      <w:pPr>
        <w:ind w:left="720"/>
        <w:jc w:val="both"/>
        <w:rPr>
          <w:rFonts w:ascii="Garamond" w:eastAsia="Arial" w:hAnsi="Garamond" w:cs="Arial"/>
          <w:lang w:eastAsia="es-ES"/>
        </w:rPr>
      </w:pPr>
    </w:p>
    <w:p w14:paraId="08153860" w14:textId="77777777" w:rsidR="00C04C4B" w:rsidRPr="00C04C4B" w:rsidRDefault="00C04C4B" w:rsidP="00C04C4B">
      <w:pPr>
        <w:jc w:val="both"/>
        <w:rPr>
          <w:rFonts w:ascii="Garamond" w:eastAsia="Arial" w:hAnsi="Garamond" w:cs="Arial"/>
          <w:lang w:eastAsia="es-ES"/>
        </w:rPr>
      </w:pPr>
      <w:r w:rsidRPr="00C04C4B">
        <w:rPr>
          <w:rFonts w:ascii="Garamond" w:eastAsia="Arial" w:hAnsi="Garamond" w:cs="Arial"/>
          <w:lang w:eastAsia="es-ES"/>
        </w:rPr>
        <w:t xml:space="preserve">Para efectos de la asignación de puntaje se tendrá en cuenta lo siguiente: se asignará el máximo puntaje al promedio de los </w:t>
      </w:r>
      <w:proofErr w:type="spellStart"/>
      <w:r w:rsidRPr="00C04C4B">
        <w:rPr>
          <w:rFonts w:ascii="Garamond" w:eastAsia="Arial" w:hAnsi="Garamond" w:cs="Arial"/>
          <w:lang w:eastAsia="es-ES"/>
        </w:rPr>
        <w:t>SMMLV</w:t>
      </w:r>
      <w:proofErr w:type="spellEnd"/>
      <w:r w:rsidRPr="00C04C4B">
        <w:rPr>
          <w:rFonts w:ascii="Garamond" w:eastAsia="Arial" w:hAnsi="Garamond" w:cs="Arial"/>
          <w:lang w:eastAsia="es-ES"/>
        </w:rPr>
        <w:t xml:space="preserve"> de los contratos válidos y que no fueron objeto de subsanación</w:t>
      </w:r>
      <w:r w:rsidRPr="00C04C4B">
        <w:rPr>
          <w:rFonts w:ascii="Garamond" w:hAnsi="Garamond" w:cs="Arial"/>
          <w:lang w:val="es-MX"/>
        </w:rPr>
        <w:t xml:space="preserve"> </w:t>
      </w:r>
      <w:r w:rsidRPr="00C04C4B">
        <w:rPr>
          <w:rFonts w:ascii="Garamond" w:eastAsia="Arial" w:hAnsi="Garamond" w:cs="Arial"/>
          <w:lang w:eastAsia="es-ES"/>
        </w:rPr>
        <w:t>de la propuesta que se encuentre más cerca (por exceso o por defecto) al valor de la media geométrica calculada para el factor correspondiente.</w:t>
      </w:r>
    </w:p>
    <w:p w14:paraId="31205F5E" w14:textId="77777777" w:rsidR="00C04C4B" w:rsidRPr="00C04C4B" w:rsidRDefault="00C04C4B" w:rsidP="00C04C4B">
      <w:pPr>
        <w:jc w:val="both"/>
        <w:rPr>
          <w:rFonts w:ascii="Garamond" w:eastAsia="Arial" w:hAnsi="Garamond" w:cs="Arial"/>
          <w:lang w:eastAsia="es-ES"/>
        </w:rPr>
      </w:pPr>
    </w:p>
    <w:p w14:paraId="41F75E3C" w14:textId="77777777" w:rsidR="00C04C4B" w:rsidRPr="00C04C4B" w:rsidRDefault="00C04C4B" w:rsidP="00C04C4B">
      <w:pPr>
        <w:jc w:val="both"/>
        <w:rPr>
          <w:rFonts w:ascii="Garamond" w:eastAsia="Arial" w:hAnsi="Garamond" w:cs="Arial"/>
          <w:lang w:eastAsia="es-ES"/>
        </w:rPr>
      </w:pPr>
      <w:r w:rsidRPr="00C04C4B">
        <w:rPr>
          <w:rFonts w:ascii="Garamond" w:eastAsia="Arial" w:hAnsi="Garamond" w:cs="Arial"/>
          <w:lang w:eastAsia="es-ES"/>
        </w:rPr>
        <w:t>Las demás propuestas recibirán puntaje de acuerdo con la siguiente ecuación:</w:t>
      </w:r>
    </w:p>
    <w:p w14:paraId="49E6E968" w14:textId="77777777" w:rsidR="00C04C4B" w:rsidRPr="00C04C4B" w:rsidRDefault="00C04C4B" w:rsidP="00C04C4B">
      <w:pPr>
        <w:jc w:val="both"/>
        <w:rPr>
          <w:rFonts w:ascii="Garamond" w:eastAsia="Arial" w:hAnsi="Garamond" w:cs="Arial"/>
          <w:lang w:eastAsia="es-ES"/>
        </w:rPr>
      </w:pPr>
    </w:p>
    <w:p w14:paraId="3A950ACE" w14:textId="77777777" w:rsidR="00C04C4B" w:rsidRPr="00C04C4B" w:rsidRDefault="00C04C4B" w:rsidP="00C04C4B">
      <w:pPr>
        <w:jc w:val="center"/>
        <w:rPr>
          <w:rFonts w:ascii="Garamond" w:eastAsia="Arial" w:hAnsi="Garamond" w:cs="Arial"/>
          <w:lang w:eastAsia="es-ES"/>
        </w:rPr>
      </w:pPr>
      <m:oMathPara>
        <m:oMath>
          <m:sSub>
            <m:sSubPr>
              <m:ctrlPr>
                <w:rPr>
                  <w:rFonts w:ascii="Cambria Math" w:eastAsia="Arial" w:hAnsi="Cambria Math" w:cs="Arial"/>
                  <w:i/>
                  <w:lang w:eastAsia="es-ES"/>
                </w:rPr>
              </m:ctrlPr>
            </m:sSubPr>
            <m:e>
              <m:r>
                <w:rPr>
                  <w:rFonts w:ascii="Cambria Math" w:eastAsia="Arial" w:hAnsi="Cambria Math" w:cs="Arial"/>
                  <w:lang w:eastAsia="es-ES"/>
                </w:rPr>
                <m:t>Puntaje</m:t>
              </m:r>
            </m:e>
            <m:sub>
              <m:r>
                <w:rPr>
                  <w:rFonts w:ascii="Cambria Math" w:eastAsia="Arial" w:hAnsi="Cambria Math" w:cs="Arial"/>
                  <w:lang w:eastAsia="es-ES"/>
                </w:rPr>
                <m:t>Asignar</m:t>
              </m:r>
            </m:sub>
          </m:sSub>
          <m:r>
            <w:rPr>
              <w:rFonts w:ascii="Cambria Math" w:eastAsia="Arial" w:hAnsi="Cambria Math" w:cs="Arial"/>
              <w:lang w:eastAsia="es-ES"/>
            </w:rPr>
            <m:t>=</m:t>
          </m:r>
          <m:d>
            <m:dPr>
              <m:ctrlPr>
                <w:rPr>
                  <w:rFonts w:ascii="Cambria Math" w:eastAsia="Arial" w:hAnsi="Cambria Math" w:cs="Arial"/>
                  <w:i/>
                  <w:lang w:eastAsia="es-ES"/>
                </w:rPr>
              </m:ctrlPr>
            </m:dPr>
            <m:e>
              <m:r>
                <w:rPr>
                  <w:rFonts w:ascii="Cambria Math" w:eastAsia="Arial" w:hAnsi="Cambria Math" w:cs="Arial"/>
                  <w:lang w:eastAsia="es-ES"/>
                </w:rPr>
                <m:t>1-</m:t>
              </m:r>
              <m:d>
                <m:dPr>
                  <m:ctrlPr>
                    <w:rPr>
                      <w:rFonts w:ascii="Cambria Math" w:eastAsia="Arial" w:hAnsi="Cambria Math" w:cs="Arial"/>
                      <w:i/>
                      <w:lang w:eastAsia="es-ES"/>
                    </w:rPr>
                  </m:ctrlPr>
                </m:dPr>
                <m:e>
                  <m:f>
                    <m:fPr>
                      <m:ctrlPr>
                        <w:rPr>
                          <w:rFonts w:ascii="Cambria Math" w:eastAsia="Arial" w:hAnsi="Cambria Math" w:cs="Arial"/>
                          <w:i/>
                          <w:lang w:eastAsia="es-ES"/>
                        </w:rPr>
                      </m:ctrlPr>
                    </m:fPr>
                    <m:num>
                      <m:d>
                        <m:dPr>
                          <m:begChr m:val="|"/>
                          <m:endChr m:val="|"/>
                          <m:ctrlPr>
                            <w:rPr>
                              <w:rFonts w:ascii="Cambria Math" w:eastAsia="Arial" w:hAnsi="Cambria Math" w:cs="Arial"/>
                              <w:i/>
                              <w:lang w:eastAsia="es-ES"/>
                            </w:rPr>
                          </m:ctrlPr>
                        </m:dPr>
                        <m:e>
                          <m:r>
                            <w:rPr>
                              <w:rFonts w:ascii="Cambria Math" w:eastAsia="Arial" w:hAnsi="Cambria Math" w:cs="Arial"/>
                              <w:lang w:eastAsia="es-ES"/>
                            </w:rPr>
                            <m:t>MG-</m:t>
                          </m:r>
                          <m:sSub>
                            <m:sSubPr>
                              <m:ctrlPr>
                                <w:rPr>
                                  <w:rFonts w:ascii="Cambria Math" w:eastAsia="Arial" w:hAnsi="Cambria Math" w:cs="Arial"/>
                                  <w:i/>
                                  <w:lang w:eastAsia="es-ES"/>
                                </w:rPr>
                              </m:ctrlPr>
                            </m:sSubPr>
                            <m:e>
                              <m:r>
                                <w:rPr>
                                  <w:rFonts w:ascii="Cambria Math" w:eastAsia="Arial" w:hAnsi="Cambria Math" w:cs="Arial"/>
                                  <w:lang w:eastAsia="es-ES"/>
                                </w:rPr>
                                <m:t>V</m:t>
                              </m:r>
                            </m:e>
                            <m:sub>
                              <m:r>
                                <w:rPr>
                                  <w:rFonts w:ascii="Cambria Math" w:eastAsia="Arial" w:hAnsi="Cambria Math" w:cs="Arial"/>
                                  <w:lang w:eastAsia="es-ES"/>
                                </w:rPr>
                                <m:t>i</m:t>
                              </m:r>
                            </m:sub>
                          </m:sSub>
                        </m:e>
                      </m:d>
                    </m:num>
                    <m:den>
                      <m:r>
                        <w:rPr>
                          <w:rFonts w:ascii="Cambria Math" w:eastAsia="Arial" w:hAnsi="Cambria Math" w:cs="Arial"/>
                          <w:lang w:eastAsia="es-ES"/>
                        </w:rPr>
                        <m:t>MG</m:t>
                      </m:r>
                    </m:den>
                  </m:f>
                </m:e>
              </m:d>
            </m:e>
          </m:d>
          <m:r>
            <w:rPr>
              <w:rFonts w:ascii="Cambria Math" w:eastAsia="Arial" w:hAnsi="Cambria Math" w:cs="Arial"/>
              <w:lang w:eastAsia="es-ES"/>
            </w:rPr>
            <m:t>*Puntaje máximo</m:t>
          </m:r>
        </m:oMath>
      </m:oMathPara>
    </w:p>
    <w:p w14:paraId="02CC5A61" w14:textId="77777777" w:rsidR="00C04C4B" w:rsidRPr="00C04C4B" w:rsidRDefault="00C04C4B" w:rsidP="00C04C4B">
      <w:pPr>
        <w:jc w:val="both"/>
        <w:rPr>
          <w:rFonts w:ascii="Garamond" w:eastAsia="Arial" w:hAnsi="Garamond" w:cs="Arial"/>
          <w:b/>
          <w:bCs/>
          <w:lang w:eastAsia="es-ES"/>
        </w:rPr>
      </w:pPr>
    </w:p>
    <w:p w14:paraId="74B3F109" w14:textId="77777777" w:rsidR="00C04C4B" w:rsidRPr="00C04C4B" w:rsidRDefault="00C04C4B" w:rsidP="00C04C4B">
      <w:pPr>
        <w:jc w:val="both"/>
        <w:rPr>
          <w:rFonts w:ascii="Garamond" w:eastAsia="Arial" w:hAnsi="Garamond" w:cs="Arial"/>
          <w:lang w:eastAsia="es-ES"/>
        </w:rPr>
      </w:pPr>
    </w:p>
    <w:p w14:paraId="3632D025" w14:textId="77777777" w:rsidR="00C04C4B" w:rsidRPr="00C04C4B" w:rsidRDefault="00C04C4B" w:rsidP="00C04C4B">
      <w:pPr>
        <w:jc w:val="both"/>
        <w:rPr>
          <w:rFonts w:ascii="Garamond" w:eastAsia="Arial" w:hAnsi="Garamond" w:cs="Arial"/>
          <w:lang w:val="es-MX" w:eastAsia="es-ES"/>
        </w:rPr>
      </w:pPr>
      <w:r w:rsidRPr="00C04C4B">
        <w:rPr>
          <w:rFonts w:ascii="Garamond" w:eastAsia="Arial" w:hAnsi="Garamond" w:cs="Arial"/>
          <w:lang w:val="es-MX" w:eastAsia="es-ES"/>
        </w:rPr>
        <w:t>Donde:</w:t>
      </w:r>
    </w:p>
    <w:p w14:paraId="5667FF2B" w14:textId="77777777" w:rsidR="00C04C4B" w:rsidRPr="00C04C4B" w:rsidRDefault="00C04C4B" w:rsidP="00C04C4B">
      <w:pPr>
        <w:jc w:val="both"/>
        <w:rPr>
          <w:rFonts w:ascii="Garamond" w:eastAsia="Arial" w:hAnsi="Garamond" w:cs="Arial"/>
          <w:lang w:val="es-MX" w:eastAsia="es-ES"/>
        </w:rPr>
      </w:pPr>
      <w:r w:rsidRPr="00C04C4B">
        <w:rPr>
          <w:rFonts w:ascii="Garamond" w:eastAsia="Arial" w:hAnsi="Garamond" w:cs="Arial"/>
          <w:lang w:val="es-MX" w:eastAsia="es-ES"/>
        </w:rPr>
        <w:tab/>
        <w:t>MG: Es la media geométrica de todas las ofertas habilitadas.</w:t>
      </w:r>
    </w:p>
    <w:p w14:paraId="6EB50BC1" w14:textId="77777777" w:rsidR="00C04C4B" w:rsidRPr="00C04C4B" w:rsidRDefault="00C04C4B" w:rsidP="00C04C4B">
      <w:pPr>
        <w:jc w:val="both"/>
        <w:rPr>
          <w:rFonts w:ascii="Garamond" w:eastAsia="Arial" w:hAnsi="Garamond" w:cs="Arial"/>
          <w:lang w:val="es-MX" w:eastAsia="es-ES"/>
        </w:rPr>
      </w:pPr>
      <w:r w:rsidRPr="00C04C4B">
        <w:rPr>
          <w:rFonts w:ascii="Garamond" w:eastAsia="Arial" w:hAnsi="Garamond" w:cs="Arial"/>
          <w:lang w:val="es-MX" w:eastAsia="es-ES"/>
        </w:rPr>
        <w:tab/>
      </w:r>
      <m:oMath>
        <m:sSub>
          <m:sSubPr>
            <m:ctrlPr>
              <w:rPr>
                <w:rFonts w:ascii="Cambria Math" w:eastAsia="Arial" w:hAnsi="Cambria Math" w:cs="Arial"/>
                <w:i/>
                <w:lang w:eastAsia="es-ES"/>
              </w:rPr>
            </m:ctrlPr>
          </m:sSubPr>
          <m:e>
            <m:r>
              <w:rPr>
                <w:rFonts w:ascii="Cambria Math" w:eastAsia="Arial" w:hAnsi="Cambria Math" w:cs="Arial"/>
                <w:lang w:eastAsia="es-ES"/>
              </w:rPr>
              <m:t>V</m:t>
            </m:r>
          </m:e>
          <m:sub>
            <m:r>
              <w:rPr>
                <w:rFonts w:ascii="Cambria Math" w:eastAsia="Arial" w:hAnsi="Cambria Math" w:cs="Arial"/>
                <w:lang w:eastAsia="es-ES"/>
              </w:rPr>
              <m:t>i</m:t>
            </m:r>
          </m:sub>
        </m:sSub>
      </m:oMath>
      <w:r w:rsidRPr="00C04C4B">
        <w:rPr>
          <w:rFonts w:ascii="Garamond" w:eastAsia="Arial" w:hAnsi="Garamond" w:cs="Arial"/>
          <w:lang w:val="es-MX" w:eastAsia="es-ES"/>
        </w:rPr>
        <w:t>: Es el valor total corregido de cada una de las propuestas “i”.</w:t>
      </w:r>
    </w:p>
    <w:p w14:paraId="3290E3F9" w14:textId="77777777" w:rsidR="00C04C4B" w:rsidRPr="00C04C4B" w:rsidRDefault="00C04C4B" w:rsidP="00C04C4B">
      <w:pPr>
        <w:jc w:val="both"/>
        <w:rPr>
          <w:rFonts w:ascii="Garamond" w:eastAsia="Arial" w:hAnsi="Garamond" w:cs="Arial"/>
          <w:lang w:val="es-MX" w:eastAsia="es-ES"/>
        </w:rPr>
      </w:pPr>
    </w:p>
    <w:p w14:paraId="7B86A0D8" w14:textId="77777777" w:rsidR="00C04C4B" w:rsidRPr="00C04C4B" w:rsidRDefault="00C04C4B" w:rsidP="00C04C4B">
      <w:pPr>
        <w:jc w:val="both"/>
        <w:rPr>
          <w:rFonts w:ascii="Garamond" w:eastAsia="Arial" w:hAnsi="Garamond" w:cs="Arial"/>
          <w:lang w:val="es-MX" w:eastAsia="es-ES"/>
        </w:rPr>
      </w:pPr>
      <w:r w:rsidRPr="00C04C4B">
        <w:rPr>
          <w:rFonts w:ascii="Garamond" w:eastAsia="Arial" w:hAnsi="Garamond" w:cs="Arial"/>
          <w:b/>
          <w:bCs/>
          <w:lang w:eastAsia="es-ES"/>
        </w:rPr>
        <w:t>Nota 10:</w:t>
      </w:r>
      <w:r w:rsidRPr="00C04C4B">
        <w:rPr>
          <w:rFonts w:ascii="Garamond" w:eastAsia="Arial" w:hAnsi="Garamond" w:cs="Arial"/>
          <w:lang w:eastAsia="es-ES"/>
        </w:rPr>
        <w:t xml:space="preserve"> Cuando el resultado de la fórmula anterior sea un número negativo se asignará 0,0 puntos. </w:t>
      </w:r>
      <w:r w:rsidRPr="00C04C4B">
        <w:rPr>
          <w:rFonts w:ascii="Garamond" w:eastAsia="Arial" w:hAnsi="Garamond" w:cs="Arial"/>
          <w:lang w:val="es-MX" w:eastAsia="es-ES"/>
        </w:rPr>
        <w:t>Se tomará el valor absoluto de la diferencia entre la media geométrica y el valor total corregido de cada una de las propuestas.</w:t>
      </w:r>
    </w:p>
    <w:p w14:paraId="76D5730E" w14:textId="77777777" w:rsidR="00C04C4B" w:rsidRPr="00C04C4B" w:rsidRDefault="00C04C4B" w:rsidP="00C04C4B">
      <w:pPr>
        <w:jc w:val="both"/>
        <w:rPr>
          <w:rFonts w:ascii="Garamond" w:eastAsia="Arial" w:hAnsi="Garamond" w:cs="Arial"/>
          <w:lang w:val="es-MX" w:eastAsia="es-ES"/>
        </w:rPr>
      </w:pPr>
    </w:p>
    <w:p w14:paraId="75ABD233" w14:textId="77777777" w:rsidR="00C04C4B" w:rsidRPr="00C04C4B" w:rsidRDefault="00C04C4B" w:rsidP="00C04C4B">
      <w:pPr>
        <w:jc w:val="both"/>
        <w:rPr>
          <w:rFonts w:ascii="Garamond" w:eastAsia="Arial" w:hAnsi="Garamond" w:cs="Arial"/>
          <w:lang w:eastAsia="es-ES"/>
        </w:rPr>
      </w:pPr>
    </w:p>
    <w:p w14:paraId="5BABE0F1" w14:textId="77777777" w:rsidR="00C04C4B" w:rsidRPr="00C04C4B" w:rsidRDefault="00C04C4B" w:rsidP="00A23238">
      <w:pPr>
        <w:pStyle w:val="Prrafodelista"/>
        <w:widowControl/>
        <w:numPr>
          <w:ilvl w:val="0"/>
          <w:numId w:val="39"/>
        </w:numPr>
        <w:spacing w:after="200"/>
        <w:contextualSpacing/>
        <w:rPr>
          <w:rFonts w:ascii="Garamond" w:eastAsia="Arial" w:hAnsi="Garamond" w:cs="Arial"/>
          <w:b/>
          <w:bCs/>
          <w:lang w:eastAsia="es-ES"/>
        </w:rPr>
      </w:pPr>
      <w:r w:rsidRPr="00C04C4B">
        <w:rPr>
          <w:rFonts w:ascii="Garamond" w:eastAsia="Arial" w:hAnsi="Garamond" w:cs="Arial"/>
          <w:b/>
          <w:bCs/>
          <w:lang w:eastAsia="es-ES"/>
        </w:rPr>
        <w:t>Media Aritmética Alta</w:t>
      </w:r>
    </w:p>
    <w:p w14:paraId="6BE16579" w14:textId="77777777" w:rsidR="00C04C4B" w:rsidRPr="00C04C4B" w:rsidRDefault="00C04C4B" w:rsidP="00C04C4B">
      <w:pPr>
        <w:jc w:val="both"/>
        <w:rPr>
          <w:rFonts w:ascii="Garamond" w:eastAsia="Arial" w:hAnsi="Garamond" w:cs="Arial"/>
          <w:lang w:eastAsia="es-ES"/>
        </w:rPr>
      </w:pPr>
      <w:r w:rsidRPr="00C04C4B">
        <w:rPr>
          <w:rFonts w:ascii="Garamond" w:eastAsia="Arial" w:hAnsi="Garamond" w:cs="Arial"/>
          <w:lang w:eastAsia="es-ES"/>
        </w:rPr>
        <w:t xml:space="preserve">Consiste en la determinación de la media aritmética entre el valor de los promedios de los contratos válidos aportados y que no fueron objeto de subsanación expresado en </w:t>
      </w:r>
      <w:proofErr w:type="spellStart"/>
      <w:r w:rsidRPr="00C04C4B">
        <w:rPr>
          <w:rFonts w:ascii="Garamond" w:eastAsia="Arial" w:hAnsi="Garamond" w:cs="Arial"/>
          <w:lang w:eastAsia="es-ES"/>
        </w:rPr>
        <w:t>SMMLV</w:t>
      </w:r>
      <w:proofErr w:type="spellEnd"/>
      <w:r w:rsidRPr="00C04C4B">
        <w:rPr>
          <w:rFonts w:ascii="Garamond" w:eastAsia="Arial" w:hAnsi="Garamond" w:cs="Arial"/>
          <w:lang w:eastAsia="es-ES"/>
        </w:rPr>
        <w:t xml:space="preserve"> de la propuesta válida más alta y el promedio aritmético de los contratos válidos que no fueron objeto de subsanación de las otras propuestas </w:t>
      </w:r>
      <w:r w:rsidRPr="00C04C4B">
        <w:rPr>
          <w:rFonts w:ascii="Garamond" w:eastAsia="Arial" w:hAnsi="Garamond" w:cs="Arial"/>
          <w:lang w:eastAsia="es-ES"/>
        </w:rPr>
        <w:lastRenderedPageBreak/>
        <w:t>hábiles excluyendo el promedio de la propuesta más alta, para esto se aplicará la siguiente fórmula:</w:t>
      </w:r>
    </w:p>
    <w:p w14:paraId="40FED0B0" w14:textId="77777777" w:rsidR="00C04C4B" w:rsidRPr="00C04C4B" w:rsidRDefault="00C04C4B" w:rsidP="00C04C4B">
      <w:pPr>
        <w:jc w:val="both"/>
        <w:rPr>
          <w:rFonts w:ascii="Garamond" w:eastAsia="Arial" w:hAnsi="Garamond" w:cs="Arial"/>
          <w:lang w:eastAsia="es-ES"/>
        </w:rPr>
      </w:pPr>
    </w:p>
    <w:p w14:paraId="0A98C1FD" w14:textId="77777777" w:rsidR="00C04C4B" w:rsidRPr="00C04C4B" w:rsidRDefault="00C04C4B" w:rsidP="00C04C4B">
      <w:pPr>
        <w:jc w:val="center"/>
        <w:rPr>
          <w:rFonts w:ascii="Garamond" w:eastAsia="Arial" w:hAnsi="Garamond" w:cs="Arial"/>
          <w:lang w:eastAsia="es-ES"/>
        </w:rPr>
      </w:pPr>
      <m:oMathPara>
        <m:oMath>
          <m:acc>
            <m:accPr>
              <m:chr m:val="̅"/>
              <m:ctrlPr>
                <w:rPr>
                  <w:rFonts w:ascii="Cambria Math" w:eastAsia="Arial" w:hAnsi="Cambria Math" w:cs="Arial"/>
                  <w:i/>
                  <w:lang w:eastAsia="es-ES"/>
                </w:rPr>
              </m:ctrlPr>
            </m:accPr>
            <m:e>
              <m:sSub>
                <m:sSubPr>
                  <m:ctrlPr>
                    <w:rPr>
                      <w:rFonts w:ascii="Cambria Math" w:eastAsia="Arial" w:hAnsi="Cambria Math" w:cs="Arial"/>
                      <w:i/>
                      <w:lang w:eastAsia="es-ES"/>
                    </w:rPr>
                  </m:ctrlPr>
                </m:sSubPr>
                <m:e>
                  <m:r>
                    <w:rPr>
                      <w:rFonts w:ascii="Cambria Math" w:eastAsia="Arial" w:hAnsi="Cambria Math" w:cs="Arial"/>
                      <w:lang w:eastAsia="es-ES"/>
                    </w:rPr>
                    <m:t>X</m:t>
                  </m:r>
                </m:e>
                <m:sub>
                  <m:r>
                    <w:rPr>
                      <w:rFonts w:ascii="Cambria Math" w:eastAsia="Arial" w:hAnsi="Cambria Math" w:cs="Arial"/>
                      <w:lang w:eastAsia="es-ES"/>
                    </w:rPr>
                    <m:t>A</m:t>
                  </m:r>
                </m:sub>
              </m:sSub>
            </m:e>
          </m:acc>
          <m:r>
            <w:rPr>
              <w:rFonts w:ascii="Cambria Math" w:eastAsia="Arial" w:hAnsi="Cambria Math" w:cs="Arial"/>
              <w:lang w:eastAsia="es-ES"/>
            </w:rPr>
            <m:t>=</m:t>
          </m:r>
          <m:f>
            <m:fPr>
              <m:ctrlPr>
                <w:rPr>
                  <w:rFonts w:ascii="Cambria Math" w:eastAsia="Arial" w:hAnsi="Cambria Math" w:cs="Arial"/>
                  <w:i/>
                  <w:lang w:eastAsia="es-ES"/>
                </w:rPr>
              </m:ctrlPr>
            </m:fPr>
            <m:num>
              <m:r>
                <w:rPr>
                  <w:rFonts w:ascii="Cambria Math" w:eastAsia="Arial" w:hAnsi="Cambria Math" w:cs="Arial"/>
                  <w:lang w:eastAsia="es-ES"/>
                </w:rPr>
                <m:t>(</m:t>
              </m:r>
              <m:sSub>
                <m:sSubPr>
                  <m:ctrlPr>
                    <w:rPr>
                      <w:rFonts w:ascii="Cambria Math" w:eastAsia="Arial" w:hAnsi="Cambria Math" w:cs="Arial"/>
                      <w:i/>
                      <w:lang w:eastAsia="es-ES"/>
                    </w:rPr>
                  </m:ctrlPr>
                </m:sSubPr>
                <m:e>
                  <m:r>
                    <w:rPr>
                      <w:rFonts w:ascii="Cambria Math" w:eastAsia="Arial" w:hAnsi="Cambria Math" w:cs="Arial"/>
                      <w:lang w:eastAsia="es-ES"/>
                    </w:rPr>
                    <m:t>V</m:t>
                  </m:r>
                </m:e>
                <m:sub>
                  <m:r>
                    <w:rPr>
                      <w:rFonts w:ascii="Cambria Math" w:eastAsia="Arial" w:hAnsi="Cambria Math" w:cs="Arial"/>
                      <w:lang w:eastAsia="es-ES"/>
                    </w:rPr>
                    <m:t>max</m:t>
                  </m:r>
                </m:sub>
              </m:sSub>
              <m:r>
                <w:rPr>
                  <w:rFonts w:ascii="Cambria Math" w:eastAsia="Arial" w:hAnsi="Cambria Math" w:cs="Arial"/>
                  <w:lang w:eastAsia="es-ES"/>
                </w:rPr>
                <m:t>+</m:t>
              </m:r>
              <m:acc>
                <m:accPr>
                  <m:chr m:val="̅"/>
                  <m:ctrlPr>
                    <w:rPr>
                      <w:rFonts w:ascii="Cambria Math" w:eastAsia="Arial" w:hAnsi="Cambria Math" w:cs="Arial"/>
                      <w:i/>
                      <w:lang w:eastAsia="es-ES"/>
                    </w:rPr>
                  </m:ctrlPr>
                </m:accPr>
                <m:e>
                  <m:r>
                    <w:rPr>
                      <w:rFonts w:ascii="Cambria Math" w:eastAsia="Arial" w:hAnsi="Cambria Math" w:cs="Arial"/>
                      <w:lang w:eastAsia="es-ES"/>
                    </w:rPr>
                    <m:t>X</m:t>
                  </m:r>
                </m:e>
              </m:acc>
              <m:r>
                <w:rPr>
                  <w:rFonts w:ascii="Cambria Math" w:eastAsia="Arial" w:hAnsi="Cambria Math" w:cs="Arial"/>
                  <w:lang w:eastAsia="es-ES"/>
                </w:rPr>
                <m:t>)</m:t>
              </m:r>
            </m:num>
            <m:den>
              <m:r>
                <w:rPr>
                  <w:rFonts w:ascii="Cambria Math" w:eastAsia="Arial" w:hAnsi="Cambria Math" w:cs="Arial"/>
                  <w:lang w:eastAsia="es-ES"/>
                </w:rPr>
                <m:t>2</m:t>
              </m:r>
            </m:den>
          </m:f>
        </m:oMath>
      </m:oMathPara>
    </w:p>
    <w:p w14:paraId="2156B66B" w14:textId="77777777" w:rsidR="00C04C4B" w:rsidRPr="00C04C4B" w:rsidRDefault="00C04C4B" w:rsidP="00C04C4B">
      <w:pPr>
        <w:jc w:val="both"/>
        <w:rPr>
          <w:rFonts w:ascii="Garamond" w:eastAsia="Arial" w:hAnsi="Garamond" w:cs="Arial"/>
          <w:lang w:eastAsia="es-ES"/>
        </w:rPr>
      </w:pPr>
      <w:r w:rsidRPr="00C04C4B">
        <w:rPr>
          <w:rFonts w:ascii="Garamond" w:eastAsia="Arial" w:hAnsi="Garamond" w:cs="Arial"/>
          <w:lang w:eastAsia="es-ES"/>
        </w:rPr>
        <w:t xml:space="preserve">Donde: </w:t>
      </w:r>
    </w:p>
    <w:p w14:paraId="16A0E07E" w14:textId="77777777" w:rsidR="00C04C4B" w:rsidRPr="00C04C4B" w:rsidRDefault="00C04C4B" w:rsidP="00A23238">
      <w:pPr>
        <w:widowControl/>
        <w:numPr>
          <w:ilvl w:val="0"/>
          <w:numId w:val="42"/>
        </w:numPr>
        <w:jc w:val="both"/>
        <w:rPr>
          <w:rFonts w:ascii="Garamond" w:eastAsia="Arial" w:hAnsi="Garamond" w:cs="Arial"/>
          <w:lang w:eastAsia="es-ES"/>
        </w:rPr>
      </w:pPr>
      <m:oMath>
        <m:sSub>
          <m:sSubPr>
            <m:ctrlPr>
              <w:rPr>
                <w:rFonts w:ascii="Cambria Math" w:eastAsia="Arial" w:hAnsi="Cambria Math" w:cs="Arial"/>
                <w:i/>
                <w:lang w:eastAsia="es-ES"/>
              </w:rPr>
            </m:ctrlPr>
          </m:sSubPr>
          <m:e>
            <m:r>
              <w:rPr>
                <w:rFonts w:ascii="Cambria Math" w:eastAsia="Arial" w:hAnsi="Cambria Math" w:cs="Arial"/>
                <w:lang w:eastAsia="es-ES"/>
              </w:rPr>
              <m:t>V</m:t>
            </m:r>
          </m:e>
          <m:sub>
            <m:r>
              <w:rPr>
                <w:rFonts w:ascii="Cambria Math" w:eastAsia="Arial" w:hAnsi="Cambria Math" w:cs="Arial"/>
                <w:lang w:eastAsia="es-ES"/>
              </w:rPr>
              <m:t>max</m:t>
            </m:r>
          </m:sub>
        </m:sSub>
      </m:oMath>
      <w:r w:rsidRPr="00C04C4B">
        <w:rPr>
          <w:rFonts w:ascii="Garamond" w:eastAsia="Arial" w:hAnsi="Garamond" w:cs="Arial"/>
          <w:lang w:eastAsia="es-ES"/>
        </w:rPr>
        <w:t xml:space="preserve">: Es el valor total corregido del promedio aritmético de los </w:t>
      </w:r>
      <w:proofErr w:type="spellStart"/>
      <w:r w:rsidRPr="00C04C4B">
        <w:rPr>
          <w:rFonts w:ascii="Garamond" w:eastAsia="Arial" w:hAnsi="Garamond" w:cs="Arial"/>
          <w:lang w:eastAsia="es-ES"/>
        </w:rPr>
        <w:t>SMMLV</w:t>
      </w:r>
      <w:proofErr w:type="spellEnd"/>
      <w:r w:rsidRPr="00C04C4B">
        <w:rPr>
          <w:rFonts w:ascii="Garamond" w:eastAsia="Arial" w:hAnsi="Garamond" w:cs="Arial"/>
          <w:lang w:eastAsia="es-ES"/>
        </w:rPr>
        <w:t xml:space="preserve"> de los contratos válidos de la propuesta más alta y que no fueron objeto de subsanación. </w:t>
      </w:r>
    </w:p>
    <w:p w14:paraId="34D10F66" w14:textId="77777777" w:rsidR="00C04C4B" w:rsidRPr="00C04C4B" w:rsidRDefault="00C04C4B" w:rsidP="00A23238">
      <w:pPr>
        <w:widowControl/>
        <w:numPr>
          <w:ilvl w:val="0"/>
          <w:numId w:val="42"/>
        </w:numPr>
        <w:jc w:val="both"/>
        <w:rPr>
          <w:rFonts w:ascii="Garamond" w:eastAsia="Arial" w:hAnsi="Garamond" w:cs="Arial"/>
          <w:lang w:eastAsia="es-ES"/>
        </w:rPr>
      </w:pPr>
      <m:oMath>
        <m:acc>
          <m:accPr>
            <m:chr m:val="̅"/>
            <m:ctrlPr>
              <w:rPr>
                <w:rFonts w:ascii="Cambria Math" w:eastAsia="Arial" w:hAnsi="Cambria Math" w:cs="Arial"/>
                <w:i/>
                <w:lang w:eastAsia="es-ES"/>
              </w:rPr>
            </m:ctrlPr>
          </m:accPr>
          <m:e>
            <m:r>
              <w:rPr>
                <w:rFonts w:ascii="Cambria Math" w:eastAsia="Arial" w:hAnsi="Cambria Math" w:cs="Arial"/>
                <w:lang w:eastAsia="es-ES"/>
              </w:rPr>
              <m:t>X</m:t>
            </m:r>
          </m:e>
        </m:acc>
      </m:oMath>
      <w:r w:rsidRPr="00C04C4B">
        <w:rPr>
          <w:rFonts w:ascii="Garamond" w:eastAsia="Arial" w:hAnsi="Garamond" w:cs="Arial"/>
          <w:lang w:eastAsia="es-ES"/>
        </w:rPr>
        <w:t xml:space="preserve">: Es el promedio aritmético de los promedios de los </w:t>
      </w:r>
      <w:proofErr w:type="spellStart"/>
      <w:r w:rsidRPr="00C04C4B">
        <w:rPr>
          <w:rFonts w:ascii="Garamond" w:eastAsia="Arial" w:hAnsi="Garamond" w:cs="Arial"/>
          <w:lang w:eastAsia="es-ES"/>
        </w:rPr>
        <w:t>SMMLV</w:t>
      </w:r>
      <w:proofErr w:type="spellEnd"/>
      <w:r w:rsidRPr="00C04C4B">
        <w:rPr>
          <w:rFonts w:ascii="Garamond" w:eastAsia="Arial" w:hAnsi="Garamond" w:cs="Arial"/>
          <w:lang w:eastAsia="es-ES"/>
        </w:rPr>
        <w:t xml:space="preserve"> de los contratos válidos de las otras propuestas habilitadas y que no fueron objeto de subsanación, excluyendo de este promedio el </w:t>
      </w:r>
      <w:proofErr w:type="spellStart"/>
      <w:r w:rsidRPr="00C04C4B">
        <w:rPr>
          <w:rFonts w:ascii="Garamond" w:eastAsia="Arial" w:hAnsi="Garamond" w:cs="Arial"/>
          <w:lang w:eastAsia="es-ES"/>
        </w:rPr>
        <w:t>Vmax</w:t>
      </w:r>
      <w:proofErr w:type="spellEnd"/>
      <w:r w:rsidRPr="00C04C4B">
        <w:rPr>
          <w:rFonts w:ascii="Garamond" w:eastAsia="Arial" w:hAnsi="Garamond" w:cs="Arial"/>
          <w:lang w:eastAsia="es-ES"/>
        </w:rPr>
        <w:t xml:space="preserve">. </w:t>
      </w:r>
    </w:p>
    <w:p w14:paraId="53489CC9" w14:textId="77777777" w:rsidR="00C04C4B" w:rsidRPr="00C04C4B" w:rsidRDefault="00C04C4B" w:rsidP="00A23238">
      <w:pPr>
        <w:widowControl/>
        <w:numPr>
          <w:ilvl w:val="0"/>
          <w:numId w:val="42"/>
        </w:numPr>
        <w:jc w:val="both"/>
        <w:rPr>
          <w:rFonts w:ascii="Garamond" w:eastAsia="Arial" w:hAnsi="Garamond" w:cs="Arial"/>
          <w:lang w:eastAsia="es-ES"/>
        </w:rPr>
      </w:pPr>
      <m:oMath>
        <m:acc>
          <m:accPr>
            <m:chr m:val="̅"/>
            <m:ctrlPr>
              <w:rPr>
                <w:rFonts w:ascii="Cambria Math" w:eastAsia="Arial" w:hAnsi="Cambria Math" w:cs="Arial"/>
                <w:i/>
                <w:lang w:eastAsia="es-ES"/>
              </w:rPr>
            </m:ctrlPr>
          </m:accPr>
          <m:e>
            <m:sSub>
              <m:sSubPr>
                <m:ctrlPr>
                  <w:rPr>
                    <w:rFonts w:ascii="Cambria Math" w:eastAsia="Arial" w:hAnsi="Cambria Math" w:cs="Arial"/>
                    <w:i/>
                    <w:lang w:eastAsia="es-ES"/>
                  </w:rPr>
                </m:ctrlPr>
              </m:sSubPr>
              <m:e>
                <m:r>
                  <w:rPr>
                    <w:rFonts w:ascii="Cambria Math" w:eastAsia="Arial" w:hAnsi="Cambria Math" w:cs="Arial"/>
                    <w:lang w:eastAsia="es-ES"/>
                  </w:rPr>
                  <m:t>X</m:t>
                </m:r>
              </m:e>
              <m:sub>
                <m:r>
                  <w:rPr>
                    <w:rFonts w:ascii="Cambria Math" w:eastAsia="Arial" w:hAnsi="Cambria Math" w:cs="Arial"/>
                    <w:lang w:eastAsia="es-ES"/>
                  </w:rPr>
                  <m:t>A</m:t>
                </m:r>
              </m:sub>
            </m:sSub>
          </m:e>
        </m:acc>
      </m:oMath>
      <w:r w:rsidRPr="00C04C4B">
        <w:rPr>
          <w:rFonts w:ascii="Garamond" w:eastAsia="Arial" w:hAnsi="Garamond" w:cs="Arial"/>
          <w:lang w:eastAsia="es-ES"/>
        </w:rPr>
        <w:t>: Es la media aritmética alta.</w:t>
      </w:r>
    </w:p>
    <w:p w14:paraId="23B3B7F8" w14:textId="77777777" w:rsidR="00C04C4B" w:rsidRPr="00C04C4B" w:rsidRDefault="00C04C4B" w:rsidP="00C04C4B">
      <w:pPr>
        <w:jc w:val="both"/>
        <w:rPr>
          <w:rFonts w:ascii="Garamond" w:eastAsia="Arial" w:hAnsi="Garamond" w:cs="Arial"/>
          <w:lang w:eastAsia="es-ES"/>
        </w:rPr>
      </w:pPr>
    </w:p>
    <w:p w14:paraId="40A55C9E" w14:textId="77777777" w:rsidR="00C04C4B" w:rsidRPr="00C04C4B" w:rsidRDefault="00C04C4B" w:rsidP="00C04C4B">
      <w:pPr>
        <w:jc w:val="both"/>
        <w:rPr>
          <w:rFonts w:ascii="Garamond" w:eastAsia="Arial" w:hAnsi="Garamond" w:cs="Arial"/>
          <w:lang w:eastAsia="es-ES"/>
        </w:rPr>
      </w:pPr>
      <w:r w:rsidRPr="00C04C4B">
        <w:rPr>
          <w:rFonts w:ascii="Garamond" w:eastAsia="Arial" w:hAnsi="Garamond" w:cs="Arial"/>
          <w:lang w:eastAsia="es-ES"/>
        </w:rPr>
        <w:t xml:space="preserve">Obtenida la media aritmética alta se procederá a ponderar las propuestas habilitadas de acuerdo con la siguiente fórmula: </w:t>
      </w:r>
    </w:p>
    <w:p w14:paraId="22DEE3BB" w14:textId="77777777" w:rsidR="00C04C4B" w:rsidRPr="00C04C4B" w:rsidRDefault="00C04C4B" w:rsidP="00C04C4B">
      <w:pPr>
        <w:jc w:val="both"/>
        <w:rPr>
          <w:rFonts w:ascii="Garamond" w:eastAsia="Arial" w:hAnsi="Garamond" w:cs="Arial"/>
          <w:lang w:eastAsia="es-ES"/>
        </w:rPr>
      </w:pPr>
    </w:p>
    <w:p w14:paraId="5BD3379A" w14:textId="77777777" w:rsidR="00C04C4B" w:rsidRPr="00C04C4B" w:rsidRDefault="00C04C4B" w:rsidP="00C04C4B">
      <w:pPr>
        <w:jc w:val="both"/>
        <w:rPr>
          <w:rFonts w:ascii="Garamond" w:eastAsia="Arial" w:hAnsi="Garamond"/>
        </w:rPr>
      </w:pPr>
      <m:oMathPara>
        <m:oMath>
          <m:sSub>
            <m:sSubPr>
              <m:ctrlPr>
                <w:rPr>
                  <w:rFonts w:ascii="Cambria Math" w:eastAsia="Arial" w:hAnsi="Cambria Math" w:cs="Arial"/>
                  <w:i/>
                  <w:lang w:eastAsia="es-ES"/>
                </w:rPr>
              </m:ctrlPr>
            </m:sSubPr>
            <m:e>
              <m:r>
                <w:rPr>
                  <w:rFonts w:ascii="Cambria Math" w:eastAsia="Arial" w:hAnsi="Cambria Math" w:cs="Arial"/>
                  <w:lang w:eastAsia="es-ES"/>
                </w:rPr>
                <m:t>Puntaje</m:t>
              </m:r>
            </m:e>
            <m:sub>
              <m:r>
                <w:rPr>
                  <w:rFonts w:ascii="Cambria Math" w:eastAsia="Arial" w:hAnsi="Cambria Math" w:cs="Arial"/>
                  <w:lang w:eastAsia="es-ES"/>
                </w:rPr>
                <m:t>Asignar</m:t>
              </m:r>
            </m:sub>
          </m:sSub>
          <m:r>
            <w:rPr>
              <w:rFonts w:ascii="Cambria Math" w:eastAsia="Arial" w:hAnsi="Cambria Math" w:cs="Arial"/>
              <w:lang w:eastAsia="es-ES"/>
            </w:rPr>
            <m:t>=</m:t>
          </m:r>
          <m:d>
            <m:dPr>
              <m:begChr m:val="{"/>
              <m:endChr m:val="}"/>
              <m:ctrlPr>
                <w:rPr>
                  <w:rFonts w:ascii="Cambria Math" w:eastAsia="Arial" w:hAnsi="Cambria Math" w:cs="Arial"/>
                  <w:i/>
                  <w:lang w:eastAsia="es-ES"/>
                </w:rPr>
              </m:ctrlPr>
            </m:dPr>
            <m:e>
              <m:eqArr>
                <m:eqArrPr>
                  <m:ctrlPr>
                    <w:rPr>
                      <w:rFonts w:ascii="Cambria Math" w:eastAsia="Arial" w:hAnsi="Cambria Math" w:cs="Arial"/>
                      <w:i/>
                      <w:lang w:eastAsia="es-ES"/>
                    </w:rPr>
                  </m:ctrlPr>
                </m:eqArrPr>
                <m:e>
                  <m:r>
                    <w:rPr>
                      <w:rFonts w:ascii="Cambria Math" w:eastAsia="Arial" w:hAnsi="Cambria Math" w:cs="Arial"/>
                      <w:lang w:eastAsia="es-ES"/>
                    </w:rPr>
                    <m:t>Puntaje máximo*</m:t>
                  </m:r>
                  <m:d>
                    <m:dPr>
                      <m:ctrlPr>
                        <w:rPr>
                          <w:rFonts w:ascii="Cambria Math" w:eastAsia="Arial" w:hAnsi="Cambria Math" w:cs="Arial"/>
                          <w:i/>
                          <w:lang w:eastAsia="es-ES"/>
                        </w:rPr>
                      </m:ctrlPr>
                    </m:dPr>
                    <m:e>
                      <m:r>
                        <w:rPr>
                          <w:rFonts w:ascii="Cambria Math" w:eastAsia="Arial" w:hAnsi="Cambria Math" w:cs="Arial"/>
                          <w:lang w:eastAsia="es-ES"/>
                        </w:rPr>
                        <m:t>1-</m:t>
                      </m:r>
                      <m:d>
                        <m:dPr>
                          <m:ctrlPr>
                            <w:rPr>
                              <w:rFonts w:ascii="Cambria Math" w:eastAsia="Arial" w:hAnsi="Cambria Math" w:cs="Arial"/>
                              <w:i/>
                              <w:lang w:eastAsia="es-ES"/>
                            </w:rPr>
                          </m:ctrlPr>
                        </m:dPr>
                        <m:e>
                          <m:f>
                            <m:fPr>
                              <m:ctrlPr>
                                <w:rPr>
                                  <w:rFonts w:ascii="Cambria Math" w:eastAsia="Arial" w:hAnsi="Cambria Math" w:cs="Arial"/>
                                  <w:i/>
                                  <w:lang w:eastAsia="es-ES"/>
                                </w:rPr>
                              </m:ctrlPr>
                            </m:fPr>
                            <m:num>
                              <m:acc>
                                <m:accPr>
                                  <m:chr m:val="̅"/>
                                  <m:ctrlPr>
                                    <w:rPr>
                                      <w:rFonts w:ascii="Cambria Math" w:eastAsia="Arial" w:hAnsi="Cambria Math" w:cs="Arial"/>
                                      <w:i/>
                                      <w:lang w:eastAsia="es-ES"/>
                                    </w:rPr>
                                  </m:ctrlPr>
                                </m:accPr>
                                <m:e>
                                  <m:sSub>
                                    <m:sSubPr>
                                      <m:ctrlPr>
                                        <w:rPr>
                                          <w:rFonts w:ascii="Cambria Math" w:eastAsia="Arial" w:hAnsi="Cambria Math" w:cs="Arial"/>
                                          <w:i/>
                                          <w:lang w:eastAsia="es-ES"/>
                                        </w:rPr>
                                      </m:ctrlPr>
                                    </m:sSubPr>
                                    <m:e>
                                      <m:r>
                                        <w:rPr>
                                          <w:rFonts w:ascii="Cambria Math" w:eastAsia="Arial" w:hAnsi="Cambria Math" w:cs="Arial"/>
                                          <w:lang w:eastAsia="es-ES"/>
                                        </w:rPr>
                                        <m:t>X</m:t>
                                      </m:r>
                                    </m:e>
                                    <m:sub>
                                      <m:r>
                                        <w:rPr>
                                          <w:rFonts w:ascii="Cambria Math" w:eastAsia="Arial" w:hAnsi="Cambria Math" w:cs="Arial"/>
                                          <w:lang w:eastAsia="es-ES"/>
                                        </w:rPr>
                                        <m:t>A</m:t>
                                      </m:r>
                                    </m:sub>
                                  </m:sSub>
                                </m:e>
                              </m:acc>
                              <m:r>
                                <w:rPr>
                                  <w:rFonts w:ascii="Cambria Math" w:eastAsia="Arial" w:hAnsi="Cambria Math" w:cs="Arial"/>
                                  <w:lang w:eastAsia="es-ES"/>
                                </w:rPr>
                                <m:t>-</m:t>
                              </m:r>
                              <m:sSub>
                                <m:sSubPr>
                                  <m:ctrlPr>
                                    <w:rPr>
                                      <w:rFonts w:ascii="Cambria Math" w:eastAsia="Arial" w:hAnsi="Cambria Math" w:cs="Arial"/>
                                      <w:i/>
                                      <w:lang w:eastAsia="es-ES"/>
                                    </w:rPr>
                                  </m:ctrlPr>
                                </m:sSubPr>
                                <m:e>
                                  <m:r>
                                    <w:rPr>
                                      <w:rFonts w:ascii="Cambria Math" w:eastAsia="Arial" w:hAnsi="Cambria Math" w:cs="Arial"/>
                                      <w:lang w:eastAsia="es-ES"/>
                                    </w:rPr>
                                    <m:t>V</m:t>
                                  </m:r>
                                </m:e>
                                <m:sub>
                                  <m:r>
                                    <w:rPr>
                                      <w:rFonts w:ascii="Cambria Math" w:eastAsia="Arial" w:hAnsi="Cambria Math" w:cs="Arial"/>
                                      <w:lang w:eastAsia="es-ES"/>
                                    </w:rPr>
                                    <m:t>i</m:t>
                                  </m:r>
                                </m:sub>
                              </m:sSub>
                            </m:num>
                            <m:den>
                              <m:acc>
                                <m:accPr>
                                  <m:chr m:val="̅"/>
                                  <m:ctrlPr>
                                    <w:rPr>
                                      <w:rFonts w:ascii="Cambria Math" w:eastAsia="Arial" w:hAnsi="Cambria Math" w:cs="Arial"/>
                                      <w:i/>
                                      <w:lang w:eastAsia="es-ES"/>
                                    </w:rPr>
                                  </m:ctrlPr>
                                </m:accPr>
                                <m:e>
                                  <m:sSub>
                                    <m:sSubPr>
                                      <m:ctrlPr>
                                        <w:rPr>
                                          <w:rFonts w:ascii="Cambria Math" w:eastAsia="Arial" w:hAnsi="Cambria Math" w:cs="Arial"/>
                                          <w:i/>
                                          <w:lang w:eastAsia="es-ES"/>
                                        </w:rPr>
                                      </m:ctrlPr>
                                    </m:sSubPr>
                                    <m:e>
                                      <m:r>
                                        <w:rPr>
                                          <w:rFonts w:ascii="Cambria Math" w:eastAsia="Arial" w:hAnsi="Cambria Math" w:cs="Arial"/>
                                          <w:lang w:eastAsia="es-ES"/>
                                        </w:rPr>
                                        <m:t>X</m:t>
                                      </m:r>
                                    </m:e>
                                    <m:sub>
                                      <m:r>
                                        <w:rPr>
                                          <w:rFonts w:ascii="Cambria Math" w:eastAsia="Arial" w:hAnsi="Cambria Math" w:cs="Arial"/>
                                          <w:lang w:eastAsia="es-ES"/>
                                        </w:rPr>
                                        <m:t>A</m:t>
                                      </m:r>
                                    </m:sub>
                                  </m:sSub>
                                </m:e>
                              </m:acc>
                            </m:den>
                          </m:f>
                        </m:e>
                      </m:d>
                    </m:e>
                  </m:d>
                  <m:r>
                    <w:rPr>
                      <w:rFonts w:ascii="Cambria Math" w:eastAsia="Arial" w:hAnsi="Cambria Math" w:cs="Arial"/>
                      <w:lang w:eastAsia="es-ES"/>
                    </w:rPr>
                    <m:t xml:space="preserve"> Para valores menores o iguales a </m:t>
                  </m:r>
                  <m:acc>
                    <m:accPr>
                      <m:chr m:val="̅"/>
                      <m:ctrlPr>
                        <w:rPr>
                          <w:rFonts w:ascii="Cambria Math" w:eastAsia="Arial" w:hAnsi="Cambria Math" w:cs="Arial"/>
                          <w:i/>
                          <w:lang w:eastAsia="es-ES"/>
                        </w:rPr>
                      </m:ctrlPr>
                    </m:accPr>
                    <m:e>
                      <m:sSub>
                        <m:sSubPr>
                          <m:ctrlPr>
                            <w:rPr>
                              <w:rFonts w:ascii="Cambria Math" w:eastAsia="Arial" w:hAnsi="Cambria Math" w:cs="Arial"/>
                              <w:i/>
                              <w:lang w:eastAsia="es-ES"/>
                            </w:rPr>
                          </m:ctrlPr>
                        </m:sSubPr>
                        <m:e>
                          <m:r>
                            <w:rPr>
                              <w:rFonts w:ascii="Cambria Math" w:eastAsia="Arial" w:hAnsi="Cambria Math" w:cs="Arial"/>
                              <w:lang w:eastAsia="es-ES"/>
                            </w:rPr>
                            <m:t>X</m:t>
                          </m:r>
                        </m:e>
                        <m:sub>
                          <m:r>
                            <w:rPr>
                              <w:rFonts w:ascii="Cambria Math" w:eastAsia="Arial" w:hAnsi="Cambria Math" w:cs="Arial"/>
                              <w:lang w:eastAsia="es-ES"/>
                            </w:rPr>
                            <m:t>A</m:t>
                          </m:r>
                        </m:sub>
                      </m:sSub>
                    </m:e>
                  </m:acc>
                </m:e>
                <m:e>
                  <m:r>
                    <w:rPr>
                      <w:rFonts w:ascii="Cambria Math" w:eastAsia="Arial" w:hAnsi="Cambria Math" w:cs="Arial"/>
                      <w:lang w:eastAsia="es-ES"/>
                    </w:rPr>
                    <m:t xml:space="preserve"> </m:t>
                  </m:r>
                </m:e>
                <m:e>
                  <m:r>
                    <w:rPr>
                      <w:rFonts w:ascii="Cambria Math" w:eastAsia="Arial" w:hAnsi="Cambria Math" w:cs="Arial"/>
                      <w:lang w:eastAsia="es-ES"/>
                    </w:rPr>
                    <m:t xml:space="preserve"> </m:t>
                  </m:r>
                </m:e>
                <m:e>
                  <m:r>
                    <w:rPr>
                      <w:rFonts w:ascii="Cambria Math" w:eastAsia="Arial" w:hAnsi="Cambria Math" w:cs="Arial"/>
                      <w:lang w:eastAsia="es-ES"/>
                    </w:rPr>
                    <m:t xml:space="preserve"> </m:t>
                  </m:r>
                </m:e>
                <m:e>
                  <m:r>
                    <w:rPr>
                      <w:rFonts w:ascii="Cambria Math" w:eastAsia="Arial" w:hAnsi="Cambria Math" w:cs="Arial"/>
                      <w:lang w:eastAsia="es-ES"/>
                    </w:rPr>
                    <m:t>Puntaje máximo*</m:t>
                  </m:r>
                  <m:d>
                    <m:dPr>
                      <m:ctrlPr>
                        <w:rPr>
                          <w:rFonts w:ascii="Cambria Math" w:eastAsia="Arial" w:hAnsi="Cambria Math" w:cs="Arial"/>
                          <w:i/>
                          <w:lang w:eastAsia="es-ES"/>
                        </w:rPr>
                      </m:ctrlPr>
                    </m:dPr>
                    <m:e>
                      <m:r>
                        <w:rPr>
                          <w:rFonts w:ascii="Cambria Math" w:eastAsia="Arial" w:hAnsi="Cambria Math" w:cs="Arial"/>
                          <w:lang w:eastAsia="es-ES"/>
                        </w:rPr>
                        <m:t>1-2*</m:t>
                      </m:r>
                      <m:d>
                        <m:dPr>
                          <m:ctrlPr>
                            <w:rPr>
                              <w:rFonts w:ascii="Cambria Math" w:eastAsia="Arial" w:hAnsi="Cambria Math" w:cs="Arial"/>
                              <w:i/>
                              <w:lang w:eastAsia="es-ES"/>
                            </w:rPr>
                          </m:ctrlPr>
                        </m:dPr>
                        <m:e>
                          <m:f>
                            <m:fPr>
                              <m:ctrlPr>
                                <w:rPr>
                                  <w:rFonts w:ascii="Cambria Math" w:eastAsia="Arial" w:hAnsi="Cambria Math" w:cs="Arial"/>
                                  <w:i/>
                                  <w:lang w:eastAsia="es-ES"/>
                                </w:rPr>
                              </m:ctrlPr>
                            </m:fPr>
                            <m:num>
                              <m:d>
                                <m:dPr>
                                  <m:begChr m:val="|"/>
                                  <m:endChr m:val="|"/>
                                  <m:ctrlPr>
                                    <w:rPr>
                                      <w:rFonts w:ascii="Cambria Math" w:eastAsia="Arial" w:hAnsi="Cambria Math" w:cs="Arial"/>
                                      <w:i/>
                                      <w:lang w:eastAsia="es-ES"/>
                                    </w:rPr>
                                  </m:ctrlPr>
                                </m:dPr>
                                <m:e>
                                  <m:r>
                                    <w:rPr>
                                      <w:rFonts w:ascii="Cambria Math" w:eastAsia="Arial" w:hAnsi="Cambria Math" w:cs="Arial"/>
                                      <w:lang w:eastAsia="es-ES"/>
                                    </w:rPr>
                                    <m:t xml:space="preserve"> </m:t>
                                  </m:r>
                                  <m:acc>
                                    <m:accPr>
                                      <m:chr m:val="̅"/>
                                      <m:ctrlPr>
                                        <w:rPr>
                                          <w:rFonts w:ascii="Cambria Math" w:eastAsia="Arial" w:hAnsi="Cambria Math" w:cs="Arial"/>
                                          <w:i/>
                                          <w:lang w:eastAsia="es-ES"/>
                                        </w:rPr>
                                      </m:ctrlPr>
                                    </m:accPr>
                                    <m:e>
                                      <m:sSub>
                                        <m:sSubPr>
                                          <m:ctrlPr>
                                            <w:rPr>
                                              <w:rFonts w:ascii="Cambria Math" w:eastAsia="Arial" w:hAnsi="Cambria Math" w:cs="Arial"/>
                                              <w:i/>
                                              <w:lang w:eastAsia="es-ES"/>
                                            </w:rPr>
                                          </m:ctrlPr>
                                        </m:sSubPr>
                                        <m:e>
                                          <m:r>
                                            <w:rPr>
                                              <w:rFonts w:ascii="Cambria Math" w:eastAsia="Arial" w:hAnsi="Cambria Math" w:cs="Arial"/>
                                              <w:lang w:eastAsia="es-ES"/>
                                            </w:rPr>
                                            <m:t>X</m:t>
                                          </m:r>
                                        </m:e>
                                        <m:sub>
                                          <m:r>
                                            <w:rPr>
                                              <w:rFonts w:ascii="Cambria Math" w:eastAsia="Arial" w:hAnsi="Cambria Math" w:cs="Arial"/>
                                              <w:lang w:eastAsia="es-ES"/>
                                            </w:rPr>
                                            <m:t>A</m:t>
                                          </m:r>
                                        </m:sub>
                                      </m:sSub>
                                    </m:e>
                                  </m:acc>
                                  <m:r>
                                    <w:rPr>
                                      <w:rFonts w:ascii="Cambria Math" w:eastAsia="Arial" w:hAnsi="Cambria Math" w:cs="Arial"/>
                                      <w:lang w:eastAsia="es-ES"/>
                                    </w:rPr>
                                    <m:t>-</m:t>
                                  </m:r>
                                  <m:sSub>
                                    <m:sSubPr>
                                      <m:ctrlPr>
                                        <w:rPr>
                                          <w:rFonts w:ascii="Cambria Math" w:eastAsia="Arial" w:hAnsi="Cambria Math" w:cs="Arial"/>
                                          <w:i/>
                                          <w:lang w:eastAsia="es-ES"/>
                                        </w:rPr>
                                      </m:ctrlPr>
                                    </m:sSubPr>
                                    <m:e>
                                      <m:r>
                                        <w:rPr>
                                          <w:rFonts w:ascii="Cambria Math" w:eastAsia="Arial" w:hAnsi="Cambria Math" w:cs="Arial"/>
                                          <w:lang w:eastAsia="es-ES"/>
                                        </w:rPr>
                                        <m:t>V</m:t>
                                      </m:r>
                                    </m:e>
                                    <m:sub>
                                      <m:r>
                                        <w:rPr>
                                          <w:rFonts w:ascii="Cambria Math" w:eastAsia="Arial" w:hAnsi="Cambria Math" w:cs="Arial"/>
                                          <w:lang w:eastAsia="es-ES"/>
                                        </w:rPr>
                                        <m:t>i</m:t>
                                      </m:r>
                                    </m:sub>
                                  </m:sSub>
                                  <m:r>
                                    <w:rPr>
                                      <w:rFonts w:ascii="Cambria Math" w:eastAsia="Arial" w:hAnsi="Cambria Math" w:cs="Arial"/>
                                      <w:lang w:eastAsia="es-ES"/>
                                    </w:rPr>
                                    <m:t xml:space="preserve"> </m:t>
                                  </m:r>
                                </m:e>
                              </m:d>
                            </m:num>
                            <m:den>
                              <m:acc>
                                <m:accPr>
                                  <m:chr m:val="̅"/>
                                  <m:ctrlPr>
                                    <w:rPr>
                                      <w:rFonts w:ascii="Cambria Math" w:eastAsia="Arial" w:hAnsi="Cambria Math" w:cs="Arial"/>
                                      <w:i/>
                                      <w:lang w:eastAsia="es-ES"/>
                                    </w:rPr>
                                  </m:ctrlPr>
                                </m:accPr>
                                <m:e>
                                  <m:sSub>
                                    <m:sSubPr>
                                      <m:ctrlPr>
                                        <w:rPr>
                                          <w:rFonts w:ascii="Cambria Math" w:eastAsia="Arial" w:hAnsi="Cambria Math" w:cs="Arial"/>
                                          <w:i/>
                                          <w:lang w:eastAsia="es-ES"/>
                                        </w:rPr>
                                      </m:ctrlPr>
                                    </m:sSubPr>
                                    <m:e>
                                      <m:r>
                                        <w:rPr>
                                          <w:rFonts w:ascii="Cambria Math" w:eastAsia="Arial" w:hAnsi="Cambria Math" w:cs="Arial"/>
                                          <w:lang w:eastAsia="es-ES"/>
                                        </w:rPr>
                                        <m:t>X</m:t>
                                      </m:r>
                                    </m:e>
                                    <m:sub>
                                      <m:r>
                                        <w:rPr>
                                          <w:rFonts w:ascii="Cambria Math" w:eastAsia="Arial" w:hAnsi="Cambria Math" w:cs="Arial"/>
                                          <w:lang w:eastAsia="es-ES"/>
                                        </w:rPr>
                                        <m:t>A</m:t>
                                      </m:r>
                                    </m:sub>
                                  </m:sSub>
                                </m:e>
                              </m:acc>
                            </m:den>
                          </m:f>
                        </m:e>
                      </m:d>
                    </m:e>
                  </m:d>
                  <m:r>
                    <w:rPr>
                      <w:rFonts w:ascii="Cambria Math" w:eastAsia="Arial" w:hAnsi="Cambria Math" w:cs="Arial"/>
                      <w:lang w:eastAsia="es-ES"/>
                    </w:rPr>
                    <m:t xml:space="preserve"> Para valores mayores a </m:t>
                  </m:r>
                  <m:acc>
                    <m:accPr>
                      <m:chr m:val="̅"/>
                      <m:ctrlPr>
                        <w:rPr>
                          <w:rFonts w:ascii="Cambria Math" w:eastAsia="Arial" w:hAnsi="Cambria Math" w:cs="Arial"/>
                          <w:i/>
                          <w:lang w:eastAsia="es-ES"/>
                        </w:rPr>
                      </m:ctrlPr>
                    </m:accPr>
                    <m:e>
                      <m:sSub>
                        <m:sSubPr>
                          <m:ctrlPr>
                            <w:rPr>
                              <w:rFonts w:ascii="Cambria Math" w:eastAsia="Arial" w:hAnsi="Cambria Math" w:cs="Arial"/>
                              <w:i/>
                              <w:lang w:eastAsia="es-ES"/>
                            </w:rPr>
                          </m:ctrlPr>
                        </m:sSubPr>
                        <m:e>
                          <m:r>
                            <w:rPr>
                              <w:rFonts w:ascii="Cambria Math" w:eastAsia="Arial" w:hAnsi="Cambria Math" w:cs="Arial"/>
                              <w:lang w:eastAsia="es-ES"/>
                            </w:rPr>
                            <m:t>X</m:t>
                          </m:r>
                        </m:e>
                        <m:sub>
                          <m:r>
                            <w:rPr>
                              <w:rFonts w:ascii="Cambria Math" w:eastAsia="Arial" w:hAnsi="Cambria Math" w:cs="Arial"/>
                              <w:lang w:eastAsia="es-ES"/>
                            </w:rPr>
                            <m:t>A</m:t>
                          </m:r>
                        </m:sub>
                      </m:sSub>
                    </m:e>
                  </m:acc>
                </m:e>
              </m:eqArr>
            </m:e>
          </m:d>
        </m:oMath>
      </m:oMathPara>
    </w:p>
    <w:p w14:paraId="5108F166" w14:textId="77777777" w:rsidR="00C04C4B" w:rsidRPr="00C04C4B" w:rsidRDefault="00C04C4B" w:rsidP="00C04C4B">
      <w:pPr>
        <w:jc w:val="both"/>
        <w:rPr>
          <w:rFonts w:ascii="Garamond" w:hAnsi="Garamond"/>
        </w:rPr>
      </w:pPr>
    </w:p>
    <w:p w14:paraId="5F21C9D1" w14:textId="77777777" w:rsidR="00C04C4B" w:rsidRPr="00C04C4B" w:rsidRDefault="00C04C4B" w:rsidP="00C04C4B">
      <w:pPr>
        <w:jc w:val="both"/>
        <w:rPr>
          <w:rFonts w:ascii="Garamond" w:eastAsia="Arial" w:hAnsi="Garamond" w:cs="Arial"/>
          <w:lang w:eastAsia="es-ES"/>
        </w:rPr>
      </w:pPr>
    </w:p>
    <w:p w14:paraId="2E48491E" w14:textId="77777777" w:rsidR="00C04C4B" w:rsidRPr="00C04C4B" w:rsidRDefault="00C04C4B" w:rsidP="00C04C4B">
      <w:pPr>
        <w:jc w:val="both"/>
        <w:rPr>
          <w:rFonts w:ascii="Garamond" w:eastAsia="Arial" w:hAnsi="Garamond" w:cs="Arial"/>
          <w:lang w:eastAsia="es-ES"/>
        </w:rPr>
      </w:pPr>
      <w:r w:rsidRPr="00C04C4B">
        <w:rPr>
          <w:rFonts w:ascii="Garamond" w:eastAsia="Arial" w:hAnsi="Garamond" w:cs="Arial"/>
          <w:lang w:eastAsia="es-ES"/>
        </w:rPr>
        <w:t xml:space="preserve">Donde: </w:t>
      </w:r>
    </w:p>
    <w:p w14:paraId="2629D6D9" w14:textId="77777777" w:rsidR="00C04C4B" w:rsidRPr="00C04C4B" w:rsidRDefault="00C04C4B" w:rsidP="00A23238">
      <w:pPr>
        <w:widowControl/>
        <w:numPr>
          <w:ilvl w:val="0"/>
          <w:numId w:val="43"/>
        </w:numPr>
        <w:jc w:val="both"/>
        <w:rPr>
          <w:rFonts w:ascii="Garamond" w:eastAsia="Arial" w:hAnsi="Garamond" w:cs="Arial"/>
          <w:lang w:eastAsia="es-ES"/>
        </w:rPr>
      </w:pPr>
      <m:oMath>
        <m:acc>
          <m:accPr>
            <m:chr m:val="̅"/>
            <m:ctrlPr>
              <w:rPr>
                <w:rFonts w:ascii="Cambria Math" w:eastAsia="Arial" w:hAnsi="Cambria Math" w:cs="Arial"/>
                <w:i/>
                <w:lang w:eastAsia="es-ES"/>
              </w:rPr>
            </m:ctrlPr>
          </m:accPr>
          <m:e>
            <m:sSub>
              <m:sSubPr>
                <m:ctrlPr>
                  <w:rPr>
                    <w:rFonts w:ascii="Cambria Math" w:eastAsia="Arial" w:hAnsi="Cambria Math" w:cs="Arial"/>
                    <w:i/>
                    <w:lang w:eastAsia="es-ES"/>
                  </w:rPr>
                </m:ctrlPr>
              </m:sSubPr>
              <m:e>
                <m:r>
                  <w:rPr>
                    <w:rFonts w:ascii="Cambria Math" w:eastAsia="Arial" w:hAnsi="Cambria Math" w:cs="Arial"/>
                    <w:lang w:eastAsia="es-ES"/>
                  </w:rPr>
                  <m:t>X</m:t>
                </m:r>
              </m:e>
              <m:sub>
                <m:r>
                  <w:rPr>
                    <w:rFonts w:ascii="Cambria Math" w:eastAsia="Arial" w:hAnsi="Cambria Math" w:cs="Arial"/>
                    <w:lang w:eastAsia="es-ES"/>
                  </w:rPr>
                  <m:t>A</m:t>
                </m:r>
              </m:sub>
            </m:sSub>
          </m:e>
        </m:acc>
      </m:oMath>
      <w:r w:rsidRPr="00C04C4B">
        <w:rPr>
          <w:rFonts w:ascii="Garamond" w:eastAsia="Arial" w:hAnsi="Garamond" w:cs="Arial"/>
          <w:lang w:eastAsia="es-ES"/>
        </w:rPr>
        <w:t>: Es la media aritmética alta.</w:t>
      </w:r>
    </w:p>
    <w:p w14:paraId="2E23F93B" w14:textId="77777777" w:rsidR="00C04C4B" w:rsidRPr="00C04C4B" w:rsidRDefault="00C04C4B" w:rsidP="00A23238">
      <w:pPr>
        <w:widowControl/>
        <w:numPr>
          <w:ilvl w:val="0"/>
          <w:numId w:val="43"/>
        </w:numPr>
        <w:jc w:val="both"/>
        <w:rPr>
          <w:rFonts w:ascii="Garamond" w:eastAsia="Arial" w:hAnsi="Garamond" w:cs="Arial"/>
          <w:lang w:eastAsia="es-ES"/>
        </w:rPr>
      </w:pPr>
      <m:oMath>
        <m:sSub>
          <m:sSubPr>
            <m:ctrlPr>
              <w:rPr>
                <w:rFonts w:ascii="Cambria Math" w:eastAsia="Arial" w:hAnsi="Cambria Math" w:cs="Arial"/>
                <w:i/>
                <w:lang w:eastAsia="es-ES"/>
              </w:rPr>
            </m:ctrlPr>
          </m:sSubPr>
          <m:e>
            <m:r>
              <w:rPr>
                <w:rFonts w:ascii="Cambria Math" w:eastAsia="Arial" w:hAnsi="Cambria Math" w:cs="Arial"/>
                <w:lang w:eastAsia="es-ES"/>
              </w:rPr>
              <m:t>V</m:t>
            </m:r>
          </m:e>
          <m:sub>
            <m:r>
              <w:rPr>
                <w:rFonts w:ascii="Cambria Math" w:eastAsia="Arial" w:hAnsi="Cambria Math" w:cs="Arial"/>
                <w:lang w:eastAsia="es-ES"/>
              </w:rPr>
              <m:t>i</m:t>
            </m:r>
          </m:sub>
        </m:sSub>
      </m:oMath>
      <w:r w:rsidRPr="00C04C4B">
        <w:rPr>
          <w:rFonts w:ascii="Garamond" w:eastAsia="Arial" w:hAnsi="Garamond" w:cs="Arial"/>
          <w:lang w:eastAsia="es-ES"/>
        </w:rPr>
        <w:t xml:space="preserve">: Es el valor promedio de los </w:t>
      </w:r>
      <w:proofErr w:type="spellStart"/>
      <w:r w:rsidRPr="00C04C4B">
        <w:rPr>
          <w:rFonts w:ascii="Garamond" w:eastAsia="Arial" w:hAnsi="Garamond" w:cs="Arial"/>
          <w:lang w:eastAsia="es-ES"/>
        </w:rPr>
        <w:t>SMMLV</w:t>
      </w:r>
      <w:proofErr w:type="spellEnd"/>
      <w:r w:rsidRPr="00C04C4B">
        <w:rPr>
          <w:rFonts w:ascii="Garamond" w:eastAsia="Arial" w:hAnsi="Garamond" w:cs="Arial"/>
          <w:lang w:eastAsia="es-ES"/>
        </w:rPr>
        <w:t xml:space="preserve"> de los contratos válidos y que no fueron objeto de subsanación</w:t>
      </w:r>
      <w:r w:rsidRPr="00C04C4B">
        <w:rPr>
          <w:rFonts w:ascii="Garamond" w:eastAsia="Arial" w:hAnsi="Garamond" w:cs="Arial"/>
          <w:lang w:val="es-MX" w:eastAsia="es-ES"/>
        </w:rPr>
        <w:t xml:space="preserve"> </w:t>
      </w:r>
      <w:r w:rsidRPr="00C04C4B">
        <w:rPr>
          <w:rFonts w:ascii="Garamond" w:eastAsia="Arial" w:hAnsi="Garamond" w:cs="Arial"/>
          <w:lang w:eastAsia="es-ES"/>
        </w:rPr>
        <w:t>de cada una de las propuestas “i”.</w:t>
      </w:r>
    </w:p>
    <w:p w14:paraId="351D2154" w14:textId="77777777" w:rsidR="00C04C4B" w:rsidRPr="00C04C4B" w:rsidRDefault="00C04C4B" w:rsidP="00C04C4B">
      <w:pPr>
        <w:jc w:val="both"/>
        <w:rPr>
          <w:rFonts w:ascii="Garamond" w:eastAsia="Arial" w:hAnsi="Garamond" w:cs="Arial"/>
          <w:b/>
          <w:bCs/>
        </w:rPr>
      </w:pPr>
    </w:p>
    <w:p w14:paraId="399465A3" w14:textId="77777777" w:rsidR="00C04C4B" w:rsidRPr="00C04C4B" w:rsidRDefault="00C04C4B" w:rsidP="00C04C4B">
      <w:pPr>
        <w:jc w:val="both"/>
        <w:rPr>
          <w:rFonts w:ascii="Garamond" w:eastAsia="Arial" w:hAnsi="Garamond" w:cs="Arial"/>
        </w:rPr>
      </w:pPr>
      <w:r w:rsidRPr="00C04C4B">
        <w:rPr>
          <w:rFonts w:ascii="Garamond" w:eastAsia="Arial" w:hAnsi="Garamond" w:cs="Arial"/>
          <w:b/>
          <w:bCs/>
        </w:rPr>
        <w:t>Nota 11:</w:t>
      </w:r>
      <w:r w:rsidRPr="00C04C4B">
        <w:rPr>
          <w:rFonts w:ascii="Garamond" w:eastAsia="Arial" w:hAnsi="Garamond" w:cs="Arial"/>
        </w:rPr>
        <w:t xml:space="preserve"> Cuando el resultado de la fórmula anterior sea un número negativo, se asignará 0,0 puntos. </w:t>
      </w:r>
      <w:r w:rsidRPr="00C04C4B">
        <w:rPr>
          <w:rFonts w:ascii="Garamond" w:hAnsi="Garamond" w:cs="Arial"/>
          <w:lang w:val="es-MX"/>
        </w:rPr>
        <w:t xml:space="preserve">Para efectos de ponderar propuestas cuyo valor sea mayor a </w:t>
      </w:r>
      <m:oMath>
        <m:acc>
          <m:accPr>
            <m:chr m:val="̅"/>
            <m:ctrlPr>
              <w:rPr>
                <w:rFonts w:ascii="Cambria Math" w:hAnsi="Cambria Math" w:cs="Arial"/>
                <w:i/>
              </w:rPr>
            </m:ctrlPr>
          </m:accPr>
          <m:e>
            <m:sSub>
              <m:sSubPr>
                <m:ctrlPr>
                  <w:rPr>
                    <w:rFonts w:ascii="Cambria Math" w:hAnsi="Cambria Math" w:cs="Arial"/>
                    <w:i/>
                  </w:rPr>
                </m:ctrlPr>
              </m:sSubPr>
              <m:e>
                <m:r>
                  <w:rPr>
                    <w:rFonts w:ascii="Cambria Math" w:hAnsi="Cambria Math" w:cs="Arial"/>
                  </w:rPr>
                  <m:t>X</m:t>
                </m:r>
              </m:e>
              <m:sub>
                <m:r>
                  <w:rPr>
                    <w:rFonts w:ascii="Cambria Math" w:hAnsi="Cambria Math" w:cs="Arial"/>
                  </w:rPr>
                  <m:t>A</m:t>
                </m:r>
              </m:sub>
            </m:sSub>
          </m:e>
        </m:acc>
      </m:oMath>
      <w:r w:rsidRPr="00C04C4B">
        <w:rPr>
          <w:rFonts w:ascii="Garamond" w:hAnsi="Garamond" w:cs="Arial"/>
          <w:lang w:val="es-MX"/>
        </w:rPr>
        <w:t>, se tomará el valor absoluto de la diferencia entre la media aritmética a</w:t>
      </w:r>
      <w:proofErr w:type="spellStart"/>
      <w:r w:rsidRPr="00C04C4B">
        <w:rPr>
          <w:rFonts w:ascii="Garamond" w:hAnsi="Garamond" w:cs="Arial"/>
          <w:lang w:val="es-MX"/>
        </w:rPr>
        <w:t>lta</w:t>
      </w:r>
      <w:proofErr w:type="spellEnd"/>
      <w:r w:rsidRPr="00C04C4B">
        <w:rPr>
          <w:rFonts w:ascii="Garamond" w:hAnsi="Garamond" w:cs="Arial"/>
          <w:lang w:val="es-MX"/>
        </w:rPr>
        <w:t xml:space="preserve"> y el valor total corregido de cada una de las propuestas.</w:t>
      </w:r>
    </w:p>
    <w:p w14:paraId="0D0BFB0E" w14:textId="77777777" w:rsidR="00C04C4B" w:rsidRPr="00C04C4B" w:rsidRDefault="00C04C4B" w:rsidP="00C04C4B">
      <w:pPr>
        <w:jc w:val="both"/>
        <w:rPr>
          <w:rFonts w:ascii="Garamond" w:eastAsia="Arial" w:hAnsi="Garamond"/>
        </w:rPr>
      </w:pPr>
    </w:p>
    <w:p w14:paraId="1FAAFD96" w14:textId="77777777" w:rsidR="00C04C4B" w:rsidRPr="00C04C4B" w:rsidRDefault="00C04C4B" w:rsidP="00A23238">
      <w:pPr>
        <w:pStyle w:val="Prrafodelista"/>
        <w:widowControl/>
        <w:numPr>
          <w:ilvl w:val="0"/>
          <w:numId w:val="39"/>
        </w:numPr>
        <w:spacing w:after="200"/>
        <w:contextualSpacing/>
        <w:rPr>
          <w:rFonts w:ascii="Garamond" w:eastAsia="Arial" w:hAnsi="Garamond" w:cs="Arial"/>
          <w:b/>
          <w:bCs/>
          <w:lang w:eastAsia="es-ES"/>
        </w:rPr>
      </w:pPr>
      <w:r w:rsidRPr="00C04C4B">
        <w:rPr>
          <w:rFonts w:ascii="Garamond" w:eastAsia="Arial" w:hAnsi="Garamond" w:cs="Arial"/>
          <w:b/>
          <w:bCs/>
          <w:lang w:eastAsia="es-ES"/>
        </w:rPr>
        <w:t>Media Aritmética Baja</w:t>
      </w:r>
    </w:p>
    <w:p w14:paraId="7DCF317D" w14:textId="77777777" w:rsidR="00C04C4B" w:rsidRPr="00C04C4B" w:rsidRDefault="00C04C4B" w:rsidP="00C04C4B">
      <w:pPr>
        <w:jc w:val="both"/>
        <w:rPr>
          <w:rFonts w:ascii="Garamond" w:hAnsi="Garamond" w:cs="Arial"/>
        </w:rPr>
      </w:pPr>
    </w:p>
    <w:p w14:paraId="10AA8BFD" w14:textId="77777777" w:rsidR="00C04C4B" w:rsidRPr="00C04C4B" w:rsidRDefault="00C04C4B" w:rsidP="00C04C4B">
      <w:pPr>
        <w:jc w:val="both"/>
        <w:rPr>
          <w:rFonts w:ascii="Garamond" w:hAnsi="Garamond" w:cs="Arial"/>
        </w:rPr>
      </w:pPr>
      <w:r w:rsidRPr="00C04C4B">
        <w:rPr>
          <w:rFonts w:ascii="Garamond" w:hAnsi="Garamond" w:cs="Arial"/>
        </w:rPr>
        <w:t xml:space="preserve">Consiste en la determinación de la media aritmética entre el valor de los promedios de los contratos válidos aportados y que no fueron objeto de subsanación expresados en </w:t>
      </w:r>
      <w:proofErr w:type="spellStart"/>
      <w:r w:rsidRPr="00C04C4B">
        <w:rPr>
          <w:rFonts w:ascii="Garamond" w:hAnsi="Garamond" w:cs="Arial"/>
        </w:rPr>
        <w:t>SMMLV</w:t>
      </w:r>
      <w:proofErr w:type="spellEnd"/>
      <w:r w:rsidRPr="00C04C4B">
        <w:rPr>
          <w:rFonts w:ascii="Garamond" w:hAnsi="Garamond" w:cs="Arial"/>
        </w:rPr>
        <w:t xml:space="preserve"> de la propuesta válida más baja, y el promedio aritmético de los contratos válidos que no fueron objeto de subsanación de las otras propuestas hábiles excluyendo el promedio de la propuesta más baja, para esto se aplicará la siguiente fórmula:</w:t>
      </w:r>
    </w:p>
    <w:p w14:paraId="79C91AE2" w14:textId="77777777" w:rsidR="00C04C4B" w:rsidRPr="00C04C4B" w:rsidRDefault="00C04C4B" w:rsidP="00C04C4B">
      <w:pPr>
        <w:jc w:val="both"/>
        <w:rPr>
          <w:rFonts w:ascii="Garamond" w:hAnsi="Garamond" w:cs="Arial"/>
          <w:lang w:eastAsia="es-ES"/>
        </w:rPr>
      </w:pPr>
    </w:p>
    <w:p w14:paraId="33195639" w14:textId="77777777" w:rsidR="00C04C4B" w:rsidRPr="00C04C4B" w:rsidRDefault="00C04C4B" w:rsidP="00C04C4B">
      <w:pPr>
        <w:jc w:val="both"/>
        <w:rPr>
          <w:rFonts w:ascii="Garamond" w:hAnsi="Garamond" w:cs="Arial"/>
          <w:lang w:eastAsia="es-ES"/>
        </w:rPr>
      </w:pPr>
      <m:oMathPara>
        <m:oMath>
          <m:acc>
            <m:accPr>
              <m:chr m:val="̅"/>
              <m:ctrlPr>
                <w:rPr>
                  <w:rFonts w:ascii="Cambria Math" w:hAnsi="Cambria Math" w:cs="Arial"/>
                  <w:iCs/>
                  <w:lang w:eastAsia="es-ES"/>
                </w:rPr>
              </m:ctrlPr>
            </m:accPr>
            <m:e>
              <m:sSub>
                <m:sSubPr>
                  <m:ctrlPr>
                    <w:rPr>
                      <w:rFonts w:ascii="Cambria Math" w:hAnsi="Cambria Math" w:cs="Arial"/>
                      <w:iCs/>
                      <w:lang w:eastAsia="es-ES"/>
                    </w:rPr>
                  </m:ctrlPr>
                </m:sSubPr>
                <m:e>
                  <m:r>
                    <w:rPr>
                      <w:rFonts w:ascii="Cambria Math" w:hAnsi="Cambria Math" w:cs="Arial"/>
                      <w:lang w:eastAsia="es-ES"/>
                    </w:rPr>
                    <m:t>X</m:t>
                  </m:r>
                </m:e>
                <m:sub>
                  <m:r>
                    <w:rPr>
                      <w:rFonts w:ascii="Cambria Math" w:hAnsi="Cambria Math" w:cs="Arial"/>
                      <w:lang w:eastAsia="es-ES"/>
                    </w:rPr>
                    <m:t>B</m:t>
                  </m:r>
                </m:sub>
              </m:sSub>
            </m:e>
          </m:acc>
          <m:r>
            <m:rPr>
              <m:sty m:val="p"/>
            </m:rPr>
            <w:rPr>
              <w:rFonts w:ascii="Cambria Math" w:hAnsi="Cambria Math" w:cs="Arial"/>
              <w:lang w:eastAsia="es-ES"/>
            </w:rPr>
            <m:t>=</m:t>
          </m:r>
          <m:f>
            <m:fPr>
              <m:ctrlPr>
                <w:rPr>
                  <w:rFonts w:ascii="Cambria Math" w:hAnsi="Cambria Math" w:cs="Arial"/>
                  <w:iCs/>
                  <w:lang w:eastAsia="es-ES"/>
                </w:rPr>
              </m:ctrlPr>
            </m:fPr>
            <m:num>
              <m:r>
                <m:rPr>
                  <m:sty m:val="p"/>
                </m:rPr>
                <w:rPr>
                  <w:rFonts w:ascii="Cambria Math" w:hAnsi="Cambria Math" w:cs="Arial"/>
                  <w:lang w:eastAsia="es-ES"/>
                </w:rPr>
                <m:t>(</m:t>
              </m:r>
              <m:sSub>
                <m:sSubPr>
                  <m:ctrlPr>
                    <w:rPr>
                      <w:rFonts w:ascii="Cambria Math" w:hAnsi="Cambria Math" w:cs="Arial"/>
                      <w:iCs/>
                      <w:lang w:eastAsia="es-ES"/>
                    </w:rPr>
                  </m:ctrlPr>
                </m:sSubPr>
                <m:e>
                  <m:r>
                    <w:rPr>
                      <w:rFonts w:ascii="Cambria Math" w:hAnsi="Cambria Math" w:cs="Arial"/>
                      <w:lang w:eastAsia="es-ES"/>
                    </w:rPr>
                    <m:t>V</m:t>
                  </m:r>
                </m:e>
                <m:sub>
                  <m:r>
                    <w:rPr>
                      <w:rFonts w:ascii="Cambria Math" w:hAnsi="Cambria Math" w:cs="Arial"/>
                      <w:lang w:eastAsia="es-ES"/>
                    </w:rPr>
                    <m:t>min</m:t>
                  </m:r>
                </m:sub>
              </m:sSub>
              <m:r>
                <m:rPr>
                  <m:sty m:val="p"/>
                </m:rPr>
                <w:rPr>
                  <w:rFonts w:ascii="Cambria Math" w:hAnsi="Cambria Math" w:cs="Arial"/>
                  <w:lang w:eastAsia="es-ES"/>
                </w:rPr>
                <m:t>+</m:t>
              </m:r>
              <m:acc>
                <m:accPr>
                  <m:chr m:val="̅"/>
                  <m:ctrlPr>
                    <w:rPr>
                      <w:rFonts w:ascii="Cambria Math" w:hAnsi="Cambria Math" w:cs="Arial"/>
                      <w:iCs/>
                      <w:lang w:eastAsia="es-ES"/>
                    </w:rPr>
                  </m:ctrlPr>
                </m:accPr>
                <m:e>
                  <m:r>
                    <w:rPr>
                      <w:rFonts w:ascii="Cambria Math" w:hAnsi="Cambria Math" w:cs="Arial"/>
                      <w:lang w:eastAsia="es-ES"/>
                    </w:rPr>
                    <m:t>X</m:t>
                  </m:r>
                </m:e>
              </m:acc>
              <m:r>
                <m:rPr>
                  <m:sty m:val="p"/>
                </m:rPr>
                <w:rPr>
                  <w:rFonts w:ascii="Cambria Math" w:hAnsi="Cambria Math" w:cs="Arial"/>
                  <w:lang w:eastAsia="es-ES"/>
                </w:rPr>
                <m:t>)</m:t>
              </m:r>
            </m:num>
            <m:den>
              <m:r>
                <m:rPr>
                  <m:sty m:val="p"/>
                </m:rPr>
                <w:rPr>
                  <w:rFonts w:ascii="Cambria Math" w:hAnsi="Cambria Math" w:cs="Arial"/>
                  <w:lang w:eastAsia="es-ES"/>
                </w:rPr>
                <m:t>2</m:t>
              </m:r>
            </m:den>
          </m:f>
        </m:oMath>
      </m:oMathPara>
    </w:p>
    <w:p w14:paraId="6E0DA7F0" w14:textId="77777777" w:rsidR="00C04C4B" w:rsidRPr="00C04C4B" w:rsidRDefault="00C04C4B" w:rsidP="00C04C4B">
      <w:pPr>
        <w:jc w:val="both"/>
        <w:rPr>
          <w:rFonts w:ascii="Garamond" w:hAnsi="Garamond" w:cs="Arial"/>
          <w:lang w:eastAsia="es-ES"/>
        </w:rPr>
      </w:pPr>
      <w:r w:rsidRPr="00C04C4B">
        <w:rPr>
          <w:rFonts w:ascii="Garamond" w:hAnsi="Garamond" w:cs="Arial"/>
          <w:lang w:eastAsia="es-ES"/>
        </w:rPr>
        <w:t>Donde:</w:t>
      </w:r>
    </w:p>
    <w:p w14:paraId="1CF09D39" w14:textId="77777777" w:rsidR="00C04C4B" w:rsidRPr="00C04C4B" w:rsidRDefault="00C04C4B" w:rsidP="00A23238">
      <w:pPr>
        <w:pStyle w:val="Prrafodelista"/>
        <w:widowControl/>
        <w:numPr>
          <w:ilvl w:val="0"/>
          <w:numId w:val="51"/>
        </w:numPr>
        <w:spacing w:after="200" w:line="276" w:lineRule="auto"/>
        <w:contextualSpacing/>
        <w:rPr>
          <w:rFonts w:ascii="Garamond" w:hAnsi="Garamond" w:cs="Arial"/>
          <w:lang w:eastAsia="es-ES"/>
        </w:rPr>
      </w:pPr>
      <m:oMath>
        <m:sSub>
          <m:sSubPr>
            <m:ctrlPr>
              <w:rPr>
                <w:rFonts w:ascii="Cambria Math" w:hAnsi="Cambria Math" w:cs="Arial"/>
                <w:lang w:eastAsia="es-ES"/>
              </w:rPr>
            </m:ctrlPr>
          </m:sSubPr>
          <m:e>
            <m:r>
              <m:rPr>
                <m:sty m:val="p"/>
              </m:rPr>
              <w:rPr>
                <w:rFonts w:ascii="Cambria Math" w:hAnsi="Cambria Math" w:cs="Arial"/>
                <w:lang w:eastAsia="es-ES"/>
              </w:rPr>
              <m:t>V</m:t>
            </m:r>
          </m:e>
          <m:sub>
            <m:r>
              <m:rPr>
                <m:sty m:val="p"/>
              </m:rPr>
              <w:rPr>
                <w:rFonts w:ascii="Cambria Math" w:hAnsi="Cambria Math" w:cs="Arial"/>
                <w:lang w:eastAsia="es-ES"/>
              </w:rPr>
              <m:t>min</m:t>
            </m:r>
          </m:sub>
        </m:sSub>
      </m:oMath>
      <w:r w:rsidRPr="00C04C4B">
        <w:rPr>
          <w:rFonts w:ascii="Garamond" w:hAnsi="Garamond" w:cs="Arial"/>
          <w:lang w:eastAsia="es-ES"/>
        </w:rPr>
        <w:t xml:space="preserve">: Es el valor total corregido del promedio aritmético de los </w:t>
      </w:r>
      <w:proofErr w:type="spellStart"/>
      <w:r w:rsidRPr="00C04C4B">
        <w:rPr>
          <w:rFonts w:ascii="Garamond" w:hAnsi="Garamond" w:cs="Arial"/>
          <w:lang w:eastAsia="es-ES"/>
        </w:rPr>
        <w:t>SMMLV</w:t>
      </w:r>
      <w:proofErr w:type="spellEnd"/>
      <w:r w:rsidRPr="00C04C4B">
        <w:rPr>
          <w:rFonts w:ascii="Garamond" w:hAnsi="Garamond" w:cs="Arial"/>
          <w:lang w:eastAsia="es-ES"/>
        </w:rPr>
        <w:t xml:space="preserve"> de los contratos válidos de la propuesta más baja y que no fueron objeto de subsanación.</w:t>
      </w:r>
    </w:p>
    <w:p w14:paraId="55CC5113" w14:textId="77777777" w:rsidR="00C04C4B" w:rsidRPr="00C04C4B" w:rsidRDefault="00C04C4B" w:rsidP="00A23238">
      <w:pPr>
        <w:pStyle w:val="Prrafodelista"/>
        <w:widowControl/>
        <w:numPr>
          <w:ilvl w:val="0"/>
          <w:numId w:val="51"/>
        </w:numPr>
        <w:spacing w:after="200" w:line="276" w:lineRule="auto"/>
        <w:contextualSpacing/>
        <w:rPr>
          <w:rFonts w:ascii="Garamond" w:hAnsi="Garamond" w:cs="Arial"/>
          <w:lang w:eastAsia="es-ES"/>
        </w:rPr>
      </w:pPr>
      <m:oMath>
        <m:acc>
          <m:accPr>
            <m:chr m:val="̅"/>
            <m:ctrlPr>
              <w:rPr>
                <w:rFonts w:ascii="Cambria Math" w:hAnsi="Cambria Math" w:cs="Arial"/>
                <w:lang w:eastAsia="es-ES"/>
              </w:rPr>
            </m:ctrlPr>
          </m:accPr>
          <m:e>
            <m:r>
              <m:rPr>
                <m:sty m:val="p"/>
              </m:rPr>
              <w:rPr>
                <w:rFonts w:ascii="Cambria Math" w:hAnsi="Cambria Math" w:cs="Arial"/>
                <w:lang w:eastAsia="es-ES"/>
              </w:rPr>
              <m:t>X</m:t>
            </m:r>
          </m:e>
        </m:acc>
      </m:oMath>
      <w:r w:rsidRPr="00C04C4B">
        <w:rPr>
          <w:rFonts w:ascii="Garamond" w:hAnsi="Garamond" w:cs="Arial"/>
          <w:lang w:eastAsia="es-ES"/>
        </w:rPr>
        <w:t xml:space="preserve">: Es el promedio aritmético de los promedios de los SMMLV de los contratos válidos de las otras propuestas habilitadas y que no fueron objeto de subsanación, excluyendo de este promedio el </w:t>
      </w:r>
      <w:proofErr w:type="spellStart"/>
      <w:r w:rsidRPr="00C04C4B">
        <w:rPr>
          <w:rFonts w:ascii="Garamond" w:hAnsi="Garamond" w:cs="Arial"/>
          <w:lang w:eastAsia="es-ES"/>
        </w:rPr>
        <w:t>Vmin</w:t>
      </w:r>
      <w:proofErr w:type="spellEnd"/>
      <w:r w:rsidRPr="00C04C4B">
        <w:rPr>
          <w:rFonts w:ascii="Garamond" w:hAnsi="Garamond" w:cs="Arial"/>
          <w:lang w:eastAsia="es-ES"/>
        </w:rPr>
        <w:t>.</w:t>
      </w:r>
    </w:p>
    <w:p w14:paraId="1A4F16AD" w14:textId="77777777" w:rsidR="00C04C4B" w:rsidRPr="00C04C4B" w:rsidRDefault="00C04C4B" w:rsidP="00A23238">
      <w:pPr>
        <w:pStyle w:val="Prrafodelista"/>
        <w:widowControl/>
        <w:numPr>
          <w:ilvl w:val="0"/>
          <w:numId w:val="51"/>
        </w:numPr>
        <w:spacing w:after="200" w:line="276" w:lineRule="auto"/>
        <w:contextualSpacing/>
        <w:rPr>
          <w:rFonts w:ascii="Garamond" w:hAnsi="Garamond" w:cs="Arial"/>
          <w:lang w:eastAsia="es-ES"/>
        </w:rPr>
      </w:pPr>
      <m:oMath>
        <m:acc>
          <m:accPr>
            <m:chr m:val="̅"/>
            <m:ctrlPr>
              <w:rPr>
                <w:rFonts w:ascii="Cambria Math" w:hAnsi="Cambria Math" w:cs="Arial"/>
                <w:lang w:eastAsia="es-ES"/>
              </w:rPr>
            </m:ctrlPr>
          </m:accPr>
          <m:e>
            <m:sSub>
              <m:sSubPr>
                <m:ctrlPr>
                  <w:rPr>
                    <w:rFonts w:ascii="Cambria Math" w:hAnsi="Cambria Math" w:cs="Arial"/>
                    <w:lang w:eastAsia="es-ES"/>
                  </w:rPr>
                </m:ctrlPr>
              </m:sSubPr>
              <m:e>
                <m:r>
                  <m:rPr>
                    <m:sty m:val="p"/>
                  </m:rPr>
                  <w:rPr>
                    <w:rFonts w:ascii="Cambria Math" w:hAnsi="Cambria Math" w:cs="Arial"/>
                    <w:lang w:eastAsia="es-ES"/>
                  </w:rPr>
                  <m:t>X</m:t>
                </m:r>
              </m:e>
              <m:sub>
                <m:r>
                  <m:rPr>
                    <m:sty m:val="p"/>
                  </m:rPr>
                  <w:rPr>
                    <w:rFonts w:ascii="Cambria Math" w:hAnsi="Cambria Math" w:cs="Arial"/>
                    <w:lang w:eastAsia="es-ES"/>
                  </w:rPr>
                  <m:t>B</m:t>
                </m:r>
              </m:sub>
            </m:sSub>
          </m:e>
        </m:acc>
      </m:oMath>
      <w:r w:rsidRPr="00C04C4B">
        <w:rPr>
          <w:rFonts w:ascii="Garamond" w:hAnsi="Garamond" w:cs="Arial"/>
          <w:lang w:eastAsia="es-ES"/>
        </w:rPr>
        <w:t>: Es la media aritmética baja.</w:t>
      </w:r>
    </w:p>
    <w:p w14:paraId="6725BD57" w14:textId="77777777" w:rsidR="00C04C4B" w:rsidRPr="00C04C4B" w:rsidRDefault="00C04C4B" w:rsidP="00C04C4B">
      <w:pPr>
        <w:jc w:val="both"/>
        <w:rPr>
          <w:rFonts w:ascii="Garamond" w:hAnsi="Garamond" w:cs="Arial"/>
          <w:lang w:eastAsia="es-ES"/>
        </w:rPr>
      </w:pPr>
      <w:r w:rsidRPr="00C04C4B">
        <w:rPr>
          <w:rFonts w:ascii="Garamond" w:hAnsi="Garamond" w:cs="Arial"/>
          <w:lang w:eastAsia="es-ES"/>
        </w:rPr>
        <w:t xml:space="preserve">La Entidad procederá a ponderar las propuestas de acuerdo con la siguiente formula: </w:t>
      </w:r>
    </w:p>
    <w:p w14:paraId="2DDDB249" w14:textId="77777777" w:rsidR="00C04C4B" w:rsidRPr="00C04C4B" w:rsidRDefault="00C04C4B" w:rsidP="00C04C4B">
      <w:pPr>
        <w:jc w:val="both"/>
        <w:rPr>
          <w:rFonts w:ascii="Garamond" w:hAnsi="Garamond" w:cs="Arial"/>
          <w:lang w:eastAsia="es-ES"/>
        </w:rPr>
      </w:pPr>
    </w:p>
    <w:p w14:paraId="2D0D61C7" w14:textId="77777777" w:rsidR="00C04C4B" w:rsidRPr="00C04C4B" w:rsidRDefault="00C04C4B" w:rsidP="00C04C4B">
      <w:pPr>
        <w:jc w:val="both"/>
        <w:rPr>
          <w:rFonts w:ascii="Garamond" w:hAnsi="Garamond" w:cs="Arial"/>
          <w:lang w:eastAsia="es-ES"/>
        </w:rPr>
      </w:pPr>
      <m:oMathPara>
        <m:oMath>
          <m:r>
            <w:rPr>
              <w:rFonts w:ascii="Cambria Math" w:hAnsi="Cambria Math" w:cs="Arial"/>
              <w:lang w:eastAsia="es-ES"/>
            </w:rPr>
            <m:t>Puntaje</m:t>
          </m:r>
          <m:r>
            <m:rPr>
              <m:sty m:val="p"/>
            </m:rPr>
            <w:rPr>
              <w:rFonts w:ascii="Cambria Math" w:hAnsi="Cambria Math" w:cs="Arial"/>
              <w:lang w:eastAsia="es-ES"/>
            </w:rPr>
            <m:t>=</m:t>
          </m:r>
          <m:d>
            <m:dPr>
              <m:begChr m:val="{"/>
              <m:endChr m:val="}"/>
              <m:ctrlPr>
                <w:rPr>
                  <w:rFonts w:ascii="Cambria Math" w:hAnsi="Cambria Math" w:cs="Arial"/>
                  <w:iCs/>
                  <w:lang w:eastAsia="es-ES"/>
                </w:rPr>
              </m:ctrlPr>
            </m:dPr>
            <m:e>
              <m:eqArr>
                <m:eqArrPr>
                  <m:ctrlPr>
                    <w:rPr>
                      <w:rFonts w:ascii="Cambria Math" w:hAnsi="Cambria Math" w:cs="Arial"/>
                      <w:iCs/>
                      <w:lang w:eastAsia="es-ES"/>
                    </w:rPr>
                  </m:ctrlPr>
                </m:eqArrPr>
                <m:e>
                  <m:r>
                    <w:rPr>
                      <w:rFonts w:ascii="Cambria Math" w:hAnsi="Cambria Math" w:cs="Arial"/>
                      <w:lang w:eastAsia="es-ES"/>
                    </w:rPr>
                    <m:t>Puntaje</m:t>
                  </m:r>
                  <m:r>
                    <m:rPr>
                      <m:sty m:val="p"/>
                    </m:rPr>
                    <w:rPr>
                      <w:rFonts w:ascii="Cambria Math" w:hAnsi="Cambria Math" w:cs="Arial"/>
                      <w:lang w:eastAsia="es-ES"/>
                    </w:rPr>
                    <m:t xml:space="preserve"> </m:t>
                  </m:r>
                  <m:r>
                    <w:rPr>
                      <w:rFonts w:ascii="Cambria Math" w:hAnsi="Cambria Math" w:cs="Arial"/>
                      <w:lang w:eastAsia="es-ES"/>
                    </w:rPr>
                    <m:t>m</m:t>
                  </m:r>
                  <m:r>
                    <m:rPr>
                      <m:sty m:val="p"/>
                    </m:rPr>
                    <w:rPr>
                      <w:rFonts w:ascii="Cambria Math" w:hAnsi="Cambria Math" w:cs="Arial"/>
                      <w:lang w:eastAsia="es-ES"/>
                    </w:rPr>
                    <m:t>á</m:t>
                  </m:r>
                  <m:r>
                    <w:rPr>
                      <w:rFonts w:ascii="Cambria Math" w:hAnsi="Cambria Math" w:cs="Arial"/>
                      <w:lang w:eastAsia="es-ES"/>
                    </w:rPr>
                    <m:t>ximo</m:t>
                  </m:r>
                  <m:r>
                    <m:rPr>
                      <m:sty m:val="p"/>
                    </m:rPr>
                    <w:rPr>
                      <w:rFonts w:ascii="Cambria Math" w:hAnsi="Cambria Math" w:cs="Arial"/>
                      <w:lang w:eastAsia="es-ES"/>
                    </w:rPr>
                    <m:t>*</m:t>
                  </m:r>
                  <m:d>
                    <m:dPr>
                      <m:ctrlPr>
                        <w:rPr>
                          <w:rFonts w:ascii="Cambria Math" w:hAnsi="Cambria Math" w:cs="Arial"/>
                          <w:iCs/>
                          <w:lang w:eastAsia="es-ES"/>
                        </w:rPr>
                      </m:ctrlPr>
                    </m:dPr>
                    <m:e>
                      <m:r>
                        <m:rPr>
                          <m:sty m:val="p"/>
                        </m:rPr>
                        <w:rPr>
                          <w:rFonts w:ascii="Cambria Math" w:hAnsi="Cambria Math" w:cs="Arial"/>
                          <w:lang w:eastAsia="es-ES"/>
                        </w:rPr>
                        <m:t>1-</m:t>
                      </m:r>
                      <m:d>
                        <m:dPr>
                          <m:ctrlPr>
                            <w:rPr>
                              <w:rFonts w:ascii="Cambria Math" w:hAnsi="Cambria Math" w:cs="Arial"/>
                              <w:iCs/>
                              <w:lang w:eastAsia="es-ES"/>
                            </w:rPr>
                          </m:ctrlPr>
                        </m:dPr>
                        <m:e>
                          <m:f>
                            <m:fPr>
                              <m:ctrlPr>
                                <w:rPr>
                                  <w:rFonts w:ascii="Cambria Math" w:hAnsi="Cambria Math" w:cs="Arial"/>
                                  <w:iCs/>
                                  <w:lang w:eastAsia="es-ES"/>
                                </w:rPr>
                              </m:ctrlPr>
                            </m:fPr>
                            <m:num>
                              <m:acc>
                                <m:accPr>
                                  <m:chr m:val="̅"/>
                                  <m:ctrlPr>
                                    <w:rPr>
                                      <w:rFonts w:ascii="Cambria Math" w:hAnsi="Cambria Math" w:cs="Arial"/>
                                      <w:iCs/>
                                      <w:lang w:eastAsia="es-ES"/>
                                    </w:rPr>
                                  </m:ctrlPr>
                                </m:accPr>
                                <m:e>
                                  <m:sSub>
                                    <m:sSubPr>
                                      <m:ctrlPr>
                                        <w:rPr>
                                          <w:rFonts w:ascii="Cambria Math" w:hAnsi="Cambria Math" w:cs="Arial"/>
                                          <w:iCs/>
                                          <w:lang w:eastAsia="es-ES"/>
                                        </w:rPr>
                                      </m:ctrlPr>
                                    </m:sSubPr>
                                    <m:e>
                                      <m:r>
                                        <w:rPr>
                                          <w:rFonts w:ascii="Cambria Math" w:hAnsi="Cambria Math" w:cs="Arial"/>
                                          <w:lang w:eastAsia="es-ES"/>
                                        </w:rPr>
                                        <m:t>X</m:t>
                                      </m:r>
                                    </m:e>
                                    <m:sub>
                                      <m:r>
                                        <w:rPr>
                                          <w:rFonts w:ascii="Cambria Math" w:hAnsi="Cambria Math" w:cs="Arial"/>
                                          <w:lang w:eastAsia="es-ES"/>
                                        </w:rPr>
                                        <m:t>B</m:t>
                                      </m:r>
                                    </m:sub>
                                  </m:sSub>
                                </m:e>
                              </m:acc>
                              <m:r>
                                <m:rPr>
                                  <m:sty m:val="p"/>
                                </m:rPr>
                                <w:rPr>
                                  <w:rFonts w:ascii="Cambria Math" w:hAnsi="Cambria Math" w:cs="Arial"/>
                                  <w:lang w:eastAsia="es-ES"/>
                                </w:rPr>
                                <m:t>-</m:t>
                              </m:r>
                              <m:sSub>
                                <m:sSubPr>
                                  <m:ctrlPr>
                                    <w:rPr>
                                      <w:rFonts w:ascii="Cambria Math" w:hAnsi="Cambria Math" w:cs="Arial"/>
                                      <w:iCs/>
                                      <w:lang w:eastAsia="es-ES"/>
                                    </w:rPr>
                                  </m:ctrlPr>
                                </m:sSubPr>
                                <m:e>
                                  <m:r>
                                    <w:rPr>
                                      <w:rFonts w:ascii="Cambria Math" w:hAnsi="Cambria Math" w:cs="Arial"/>
                                      <w:lang w:eastAsia="es-ES"/>
                                    </w:rPr>
                                    <m:t>V</m:t>
                                  </m:r>
                                </m:e>
                                <m:sub>
                                  <m:r>
                                    <w:rPr>
                                      <w:rFonts w:ascii="Cambria Math" w:hAnsi="Cambria Math" w:cs="Arial"/>
                                      <w:lang w:eastAsia="es-ES"/>
                                    </w:rPr>
                                    <m:t>i</m:t>
                                  </m:r>
                                </m:sub>
                              </m:sSub>
                            </m:num>
                            <m:den>
                              <m:acc>
                                <m:accPr>
                                  <m:chr m:val="̅"/>
                                  <m:ctrlPr>
                                    <w:rPr>
                                      <w:rFonts w:ascii="Cambria Math" w:hAnsi="Cambria Math" w:cs="Arial"/>
                                      <w:iCs/>
                                      <w:lang w:eastAsia="es-ES"/>
                                    </w:rPr>
                                  </m:ctrlPr>
                                </m:accPr>
                                <m:e>
                                  <m:sSub>
                                    <m:sSubPr>
                                      <m:ctrlPr>
                                        <w:rPr>
                                          <w:rFonts w:ascii="Cambria Math" w:hAnsi="Cambria Math" w:cs="Arial"/>
                                          <w:iCs/>
                                          <w:lang w:eastAsia="es-ES"/>
                                        </w:rPr>
                                      </m:ctrlPr>
                                    </m:sSubPr>
                                    <m:e>
                                      <m:r>
                                        <w:rPr>
                                          <w:rFonts w:ascii="Cambria Math" w:hAnsi="Cambria Math" w:cs="Arial"/>
                                          <w:lang w:eastAsia="es-ES"/>
                                        </w:rPr>
                                        <m:t>X</m:t>
                                      </m:r>
                                    </m:e>
                                    <m:sub>
                                      <m:r>
                                        <w:rPr>
                                          <w:rFonts w:ascii="Cambria Math" w:hAnsi="Cambria Math" w:cs="Arial"/>
                                          <w:lang w:eastAsia="es-ES"/>
                                        </w:rPr>
                                        <m:t>B</m:t>
                                      </m:r>
                                    </m:sub>
                                  </m:sSub>
                                </m:e>
                              </m:acc>
                            </m:den>
                          </m:f>
                        </m:e>
                      </m:d>
                    </m:e>
                  </m:d>
                  <m:r>
                    <m:rPr>
                      <m:sty m:val="p"/>
                    </m:rPr>
                    <w:rPr>
                      <w:rFonts w:ascii="Cambria Math" w:hAnsi="Cambria Math" w:cs="Arial"/>
                      <w:lang w:eastAsia="es-ES"/>
                    </w:rPr>
                    <m:t xml:space="preserve"> </m:t>
                  </m:r>
                  <m:r>
                    <w:rPr>
                      <w:rFonts w:ascii="Cambria Math" w:hAnsi="Cambria Math" w:cs="Arial"/>
                      <w:lang w:eastAsia="es-ES"/>
                    </w:rPr>
                    <m:t>Para</m:t>
                  </m:r>
                  <m:r>
                    <m:rPr>
                      <m:sty m:val="p"/>
                    </m:rPr>
                    <w:rPr>
                      <w:rFonts w:ascii="Cambria Math" w:hAnsi="Cambria Math" w:cs="Arial"/>
                      <w:lang w:eastAsia="es-ES"/>
                    </w:rPr>
                    <m:t xml:space="preserve"> </m:t>
                  </m:r>
                  <m:r>
                    <w:rPr>
                      <w:rFonts w:ascii="Cambria Math" w:hAnsi="Cambria Math" w:cs="Arial"/>
                      <w:lang w:eastAsia="es-ES"/>
                    </w:rPr>
                    <m:t>valores</m:t>
                  </m:r>
                  <m:r>
                    <m:rPr>
                      <m:sty m:val="p"/>
                    </m:rPr>
                    <w:rPr>
                      <w:rFonts w:ascii="Cambria Math" w:hAnsi="Cambria Math" w:cs="Arial"/>
                      <w:lang w:eastAsia="es-ES"/>
                    </w:rPr>
                    <m:t xml:space="preserve"> </m:t>
                  </m:r>
                  <m:r>
                    <w:rPr>
                      <w:rFonts w:ascii="Cambria Math" w:hAnsi="Cambria Math" w:cs="Arial"/>
                      <w:lang w:eastAsia="es-ES"/>
                    </w:rPr>
                    <m:t>menores</m:t>
                  </m:r>
                  <m:r>
                    <m:rPr>
                      <m:sty m:val="p"/>
                    </m:rPr>
                    <w:rPr>
                      <w:rFonts w:ascii="Cambria Math" w:hAnsi="Cambria Math" w:cs="Arial"/>
                      <w:lang w:eastAsia="es-ES"/>
                    </w:rPr>
                    <m:t xml:space="preserve"> </m:t>
                  </m:r>
                  <m:r>
                    <w:rPr>
                      <w:rFonts w:ascii="Cambria Math" w:hAnsi="Cambria Math" w:cs="Arial"/>
                      <w:lang w:eastAsia="es-ES"/>
                    </w:rPr>
                    <m:t>o</m:t>
                  </m:r>
                  <m:r>
                    <m:rPr>
                      <m:sty m:val="p"/>
                    </m:rPr>
                    <w:rPr>
                      <w:rFonts w:ascii="Cambria Math" w:hAnsi="Cambria Math" w:cs="Arial"/>
                      <w:lang w:eastAsia="es-ES"/>
                    </w:rPr>
                    <m:t xml:space="preserve"> </m:t>
                  </m:r>
                  <m:r>
                    <w:rPr>
                      <w:rFonts w:ascii="Cambria Math" w:hAnsi="Cambria Math" w:cs="Arial"/>
                      <w:lang w:eastAsia="es-ES"/>
                    </w:rPr>
                    <m:t>iguales</m:t>
                  </m:r>
                  <m:r>
                    <m:rPr>
                      <m:sty m:val="p"/>
                    </m:rPr>
                    <w:rPr>
                      <w:rFonts w:ascii="Cambria Math" w:hAnsi="Cambria Math" w:cs="Arial"/>
                      <w:lang w:eastAsia="es-ES"/>
                    </w:rPr>
                    <m:t xml:space="preserve"> </m:t>
                  </m:r>
                  <m:r>
                    <w:rPr>
                      <w:rFonts w:ascii="Cambria Math" w:hAnsi="Cambria Math" w:cs="Arial"/>
                      <w:lang w:eastAsia="es-ES"/>
                    </w:rPr>
                    <m:t>a</m:t>
                  </m:r>
                  <m:r>
                    <m:rPr>
                      <m:sty m:val="p"/>
                    </m:rPr>
                    <w:rPr>
                      <w:rFonts w:ascii="Cambria Math" w:hAnsi="Cambria Math" w:cs="Arial"/>
                      <w:lang w:eastAsia="es-ES"/>
                    </w:rPr>
                    <m:t xml:space="preserve"> </m:t>
                  </m:r>
                  <m:acc>
                    <m:accPr>
                      <m:chr m:val="̅"/>
                      <m:ctrlPr>
                        <w:rPr>
                          <w:rFonts w:ascii="Cambria Math" w:hAnsi="Cambria Math" w:cs="Arial"/>
                          <w:iCs/>
                          <w:lang w:eastAsia="es-ES"/>
                        </w:rPr>
                      </m:ctrlPr>
                    </m:accPr>
                    <m:e>
                      <m:sSub>
                        <m:sSubPr>
                          <m:ctrlPr>
                            <w:rPr>
                              <w:rFonts w:ascii="Cambria Math" w:hAnsi="Cambria Math" w:cs="Arial"/>
                              <w:iCs/>
                              <w:lang w:eastAsia="es-ES"/>
                            </w:rPr>
                          </m:ctrlPr>
                        </m:sSubPr>
                        <m:e>
                          <m:r>
                            <w:rPr>
                              <w:rFonts w:ascii="Cambria Math" w:hAnsi="Cambria Math" w:cs="Arial"/>
                              <w:lang w:eastAsia="es-ES"/>
                            </w:rPr>
                            <m:t>X</m:t>
                          </m:r>
                        </m:e>
                        <m:sub>
                          <m:r>
                            <w:rPr>
                              <w:rFonts w:ascii="Cambria Math" w:hAnsi="Cambria Math" w:cs="Arial"/>
                              <w:lang w:eastAsia="es-ES"/>
                            </w:rPr>
                            <m:t>B</m:t>
                          </m:r>
                        </m:sub>
                      </m:sSub>
                    </m:e>
                  </m:acc>
                </m:e>
                <m:e>
                  <m:r>
                    <m:rPr>
                      <m:sty m:val="p"/>
                    </m:rPr>
                    <w:rPr>
                      <w:rFonts w:ascii="Cambria Math" w:hAnsi="Cambria Math" w:cs="Arial"/>
                      <w:lang w:eastAsia="es-ES"/>
                    </w:rPr>
                    <m:t xml:space="preserve"> </m:t>
                  </m:r>
                </m:e>
                <m:e>
                  <m:r>
                    <m:rPr>
                      <m:sty m:val="p"/>
                    </m:rPr>
                    <w:rPr>
                      <w:rFonts w:ascii="Cambria Math" w:hAnsi="Cambria Math" w:cs="Arial"/>
                      <w:lang w:eastAsia="es-ES"/>
                    </w:rPr>
                    <m:t xml:space="preserve"> </m:t>
                  </m:r>
                </m:e>
                <m:e>
                  <m:r>
                    <m:rPr>
                      <m:sty m:val="p"/>
                    </m:rPr>
                    <w:rPr>
                      <w:rFonts w:ascii="Cambria Math" w:hAnsi="Cambria Math" w:cs="Arial"/>
                      <w:lang w:eastAsia="es-ES"/>
                    </w:rPr>
                    <m:t xml:space="preserve"> </m:t>
                  </m:r>
                </m:e>
                <m:e>
                  <m:r>
                    <w:rPr>
                      <w:rFonts w:ascii="Cambria Math" w:hAnsi="Cambria Math" w:cs="Arial"/>
                      <w:lang w:eastAsia="es-ES"/>
                    </w:rPr>
                    <m:t>Puntaje</m:t>
                  </m:r>
                  <m:r>
                    <m:rPr>
                      <m:sty m:val="p"/>
                    </m:rPr>
                    <w:rPr>
                      <w:rFonts w:ascii="Cambria Math" w:hAnsi="Cambria Math" w:cs="Arial"/>
                      <w:lang w:eastAsia="es-ES"/>
                    </w:rPr>
                    <m:t xml:space="preserve"> </m:t>
                  </m:r>
                  <m:r>
                    <w:rPr>
                      <w:rFonts w:ascii="Cambria Math" w:hAnsi="Cambria Math" w:cs="Arial"/>
                      <w:lang w:eastAsia="es-ES"/>
                    </w:rPr>
                    <m:t>m</m:t>
                  </m:r>
                  <m:r>
                    <m:rPr>
                      <m:sty m:val="p"/>
                    </m:rPr>
                    <w:rPr>
                      <w:rFonts w:ascii="Cambria Math" w:hAnsi="Cambria Math" w:cs="Arial"/>
                      <w:lang w:eastAsia="es-ES"/>
                    </w:rPr>
                    <m:t>á</m:t>
                  </m:r>
                  <m:r>
                    <w:rPr>
                      <w:rFonts w:ascii="Cambria Math" w:hAnsi="Cambria Math" w:cs="Arial"/>
                      <w:lang w:eastAsia="es-ES"/>
                    </w:rPr>
                    <m:t>ximo</m:t>
                  </m:r>
                  <m:r>
                    <m:rPr>
                      <m:sty m:val="p"/>
                    </m:rPr>
                    <w:rPr>
                      <w:rFonts w:ascii="Cambria Math" w:hAnsi="Cambria Math" w:cs="Arial"/>
                      <w:lang w:eastAsia="es-ES"/>
                    </w:rPr>
                    <m:t>*</m:t>
                  </m:r>
                  <m:d>
                    <m:dPr>
                      <m:ctrlPr>
                        <w:rPr>
                          <w:rFonts w:ascii="Cambria Math" w:hAnsi="Cambria Math" w:cs="Arial"/>
                          <w:iCs/>
                          <w:lang w:eastAsia="es-ES"/>
                        </w:rPr>
                      </m:ctrlPr>
                    </m:dPr>
                    <m:e>
                      <m:r>
                        <m:rPr>
                          <m:sty m:val="p"/>
                        </m:rPr>
                        <w:rPr>
                          <w:rFonts w:ascii="Cambria Math" w:hAnsi="Cambria Math" w:cs="Arial"/>
                          <w:lang w:eastAsia="es-ES"/>
                        </w:rPr>
                        <m:t>1-</m:t>
                      </m:r>
                      <m:d>
                        <m:dPr>
                          <m:ctrlPr>
                            <w:rPr>
                              <w:rFonts w:ascii="Cambria Math" w:hAnsi="Cambria Math" w:cs="Arial"/>
                              <w:iCs/>
                              <w:lang w:eastAsia="es-ES"/>
                            </w:rPr>
                          </m:ctrlPr>
                        </m:dPr>
                        <m:e>
                          <m:f>
                            <m:fPr>
                              <m:ctrlPr>
                                <w:rPr>
                                  <w:rFonts w:ascii="Cambria Math" w:hAnsi="Cambria Math" w:cs="Arial"/>
                                  <w:iCs/>
                                  <w:lang w:eastAsia="es-ES"/>
                                </w:rPr>
                              </m:ctrlPr>
                            </m:fPr>
                            <m:num>
                              <m:d>
                                <m:dPr>
                                  <m:begChr m:val="|"/>
                                  <m:endChr m:val="|"/>
                                  <m:ctrlPr>
                                    <w:rPr>
                                      <w:rFonts w:ascii="Cambria Math" w:hAnsi="Cambria Math" w:cs="Arial"/>
                                      <w:iCs/>
                                      <w:lang w:eastAsia="es-ES"/>
                                    </w:rPr>
                                  </m:ctrlPr>
                                </m:dPr>
                                <m:e>
                                  <m:r>
                                    <m:rPr>
                                      <m:sty m:val="p"/>
                                    </m:rPr>
                                    <w:rPr>
                                      <w:rFonts w:ascii="Cambria Math" w:hAnsi="Cambria Math" w:cs="Arial"/>
                                      <w:lang w:eastAsia="es-ES"/>
                                    </w:rPr>
                                    <m:t xml:space="preserve"> </m:t>
                                  </m:r>
                                  <m:acc>
                                    <m:accPr>
                                      <m:chr m:val="̅"/>
                                      <m:ctrlPr>
                                        <w:rPr>
                                          <w:rFonts w:ascii="Cambria Math" w:hAnsi="Cambria Math" w:cs="Arial"/>
                                          <w:iCs/>
                                          <w:lang w:eastAsia="es-ES"/>
                                        </w:rPr>
                                      </m:ctrlPr>
                                    </m:accPr>
                                    <m:e>
                                      <m:sSub>
                                        <m:sSubPr>
                                          <m:ctrlPr>
                                            <w:rPr>
                                              <w:rFonts w:ascii="Cambria Math" w:hAnsi="Cambria Math" w:cs="Arial"/>
                                              <w:iCs/>
                                              <w:lang w:eastAsia="es-ES"/>
                                            </w:rPr>
                                          </m:ctrlPr>
                                        </m:sSubPr>
                                        <m:e>
                                          <m:r>
                                            <w:rPr>
                                              <w:rFonts w:ascii="Cambria Math" w:hAnsi="Cambria Math" w:cs="Arial"/>
                                              <w:lang w:eastAsia="es-ES"/>
                                            </w:rPr>
                                            <m:t>X</m:t>
                                          </m:r>
                                        </m:e>
                                        <m:sub>
                                          <m:r>
                                            <w:rPr>
                                              <w:rFonts w:ascii="Cambria Math" w:hAnsi="Cambria Math" w:cs="Arial"/>
                                              <w:lang w:eastAsia="es-ES"/>
                                            </w:rPr>
                                            <m:t>B</m:t>
                                          </m:r>
                                        </m:sub>
                                      </m:sSub>
                                    </m:e>
                                  </m:acc>
                                  <m:r>
                                    <m:rPr>
                                      <m:sty m:val="p"/>
                                    </m:rPr>
                                    <w:rPr>
                                      <w:rFonts w:ascii="Cambria Math" w:hAnsi="Cambria Math" w:cs="Arial"/>
                                      <w:lang w:eastAsia="es-ES"/>
                                    </w:rPr>
                                    <m:t>-</m:t>
                                  </m:r>
                                  <m:sSub>
                                    <m:sSubPr>
                                      <m:ctrlPr>
                                        <w:rPr>
                                          <w:rFonts w:ascii="Cambria Math" w:hAnsi="Cambria Math" w:cs="Arial"/>
                                          <w:iCs/>
                                          <w:lang w:eastAsia="es-ES"/>
                                        </w:rPr>
                                      </m:ctrlPr>
                                    </m:sSubPr>
                                    <m:e>
                                      <m:r>
                                        <w:rPr>
                                          <w:rFonts w:ascii="Cambria Math" w:hAnsi="Cambria Math" w:cs="Arial"/>
                                          <w:lang w:eastAsia="es-ES"/>
                                        </w:rPr>
                                        <m:t>V</m:t>
                                      </m:r>
                                    </m:e>
                                    <m:sub>
                                      <m:r>
                                        <w:rPr>
                                          <w:rFonts w:ascii="Cambria Math" w:hAnsi="Cambria Math" w:cs="Arial"/>
                                          <w:lang w:eastAsia="es-ES"/>
                                        </w:rPr>
                                        <m:t>i</m:t>
                                      </m:r>
                                    </m:sub>
                                  </m:sSub>
                                  <m:r>
                                    <m:rPr>
                                      <m:sty m:val="p"/>
                                    </m:rPr>
                                    <w:rPr>
                                      <w:rFonts w:ascii="Cambria Math" w:hAnsi="Cambria Math" w:cs="Arial"/>
                                      <w:lang w:eastAsia="es-ES"/>
                                    </w:rPr>
                                    <m:t xml:space="preserve"> </m:t>
                                  </m:r>
                                </m:e>
                              </m:d>
                            </m:num>
                            <m:den>
                              <m:acc>
                                <m:accPr>
                                  <m:chr m:val="̅"/>
                                  <m:ctrlPr>
                                    <w:rPr>
                                      <w:rFonts w:ascii="Cambria Math" w:hAnsi="Cambria Math" w:cs="Arial"/>
                                      <w:iCs/>
                                      <w:lang w:eastAsia="es-ES"/>
                                    </w:rPr>
                                  </m:ctrlPr>
                                </m:accPr>
                                <m:e>
                                  <m:sSub>
                                    <m:sSubPr>
                                      <m:ctrlPr>
                                        <w:rPr>
                                          <w:rFonts w:ascii="Cambria Math" w:hAnsi="Cambria Math" w:cs="Arial"/>
                                          <w:iCs/>
                                          <w:lang w:eastAsia="es-ES"/>
                                        </w:rPr>
                                      </m:ctrlPr>
                                    </m:sSubPr>
                                    <m:e>
                                      <m:r>
                                        <w:rPr>
                                          <w:rFonts w:ascii="Cambria Math" w:hAnsi="Cambria Math" w:cs="Arial"/>
                                          <w:lang w:eastAsia="es-ES"/>
                                        </w:rPr>
                                        <m:t>X</m:t>
                                      </m:r>
                                    </m:e>
                                    <m:sub>
                                      <m:r>
                                        <w:rPr>
                                          <w:rFonts w:ascii="Cambria Math" w:hAnsi="Cambria Math" w:cs="Arial"/>
                                          <w:lang w:eastAsia="es-ES"/>
                                        </w:rPr>
                                        <m:t>B</m:t>
                                      </m:r>
                                    </m:sub>
                                  </m:sSub>
                                </m:e>
                              </m:acc>
                            </m:den>
                          </m:f>
                        </m:e>
                      </m:d>
                    </m:e>
                  </m:d>
                  <m:r>
                    <m:rPr>
                      <m:sty m:val="p"/>
                    </m:rPr>
                    <w:rPr>
                      <w:rFonts w:ascii="Cambria Math" w:hAnsi="Cambria Math" w:cs="Arial"/>
                      <w:lang w:eastAsia="es-ES"/>
                    </w:rPr>
                    <m:t xml:space="preserve"> </m:t>
                  </m:r>
                  <m:r>
                    <w:rPr>
                      <w:rFonts w:ascii="Cambria Math" w:hAnsi="Cambria Math" w:cs="Arial"/>
                      <w:lang w:eastAsia="es-ES"/>
                    </w:rPr>
                    <m:t>Para</m:t>
                  </m:r>
                  <m:r>
                    <m:rPr>
                      <m:sty m:val="p"/>
                    </m:rPr>
                    <w:rPr>
                      <w:rFonts w:ascii="Cambria Math" w:hAnsi="Cambria Math" w:cs="Arial"/>
                      <w:lang w:eastAsia="es-ES"/>
                    </w:rPr>
                    <m:t xml:space="preserve"> </m:t>
                  </m:r>
                  <m:r>
                    <w:rPr>
                      <w:rFonts w:ascii="Cambria Math" w:hAnsi="Cambria Math" w:cs="Arial"/>
                      <w:lang w:eastAsia="es-ES"/>
                    </w:rPr>
                    <m:t>valores</m:t>
                  </m:r>
                  <m:r>
                    <m:rPr>
                      <m:sty m:val="p"/>
                    </m:rPr>
                    <w:rPr>
                      <w:rFonts w:ascii="Cambria Math" w:hAnsi="Cambria Math" w:cs="Arial"/>
                      <w:lang w:eastAsia="es-ES"/>
                    </w:rPr>
                    <m:t xml:space="preserve"> </m:t>
                  </m:r>
                  <m:r>
                    <w:rPr>
                      <w:rFonts w:ascii="Cambria Math" w:hAnsi="Cambria Math" w:cs="Arial"/>
                      <w:lang w:eastAsia="es-ES"/>
                    </w:rPr>
                    <m:t>mayores</m:t>
                  </m:r>
                  <m:r>
                    <m:rPr>
                      <m:sty m:val="p"/>
                    </m:rPr>
                    <w:rPr>
                      <w:rFonts w:ascii="Cambria Math" w:hAnsi="Cambria Math" w:cs="Arial"/>
                      <w:lang w:eastAsia="es-ES"/>
                    </w:rPr>
                    <m:t xml:space="preserve"> </m:t>
                  </m:r>
                  <m:r>
                    <w:rPr>
                      <w:rFonts w:ascii="Cambria Math" w:hAnsi="Cambria Math" w:cs="Arial"/>
                      <w:lang w:eastAsia="es-ES"/>
                    </w:rPr>
                    <m:t>a</m:t>
                  </m:r>
                  <m:r>
                    <m:rPr>
                      <m:sty m:val="p"/>
                    </m:rPr>
                    <w:rPr>
                      <w:rFonts w:ascii="Cambria Math" w:hAnsi="Cambria Math" w:cs="Arial"/>
                      <w:lang w:eastAsia="es-ES"/>
                    </w:rPr>
                    <m:t xml:space="preserve"> </m:t>
                  </m:r>
                  <m:acc>
                    <m:accPr>
                      <m:chr m:val="̅"/>
                      <m:ctrlPr>
                        <w:rPr>
                          <w:rFonts w:ascii="Cambria Math" w:hAnsi="Cambria Math" w:cs="Arial"/>
                          <w:iCs/>
                          <w:lang w:eastAsia="es-ES"/>
                        </w:rPr>
                      </m:ctrlPr>
                    </m:accPr>
                    <m:e>
                      <m:sSub>
                        <m:sSubPr>
                          <m:ctrlPr>
                            <w:rPr>
                              <w:rFonts w:ascii="Cambria Math" w:hAnsi="Cambria Math" w:cs="Arial"/>
                              <w:iCs/>
                              <w:lang w:eastAsia="es-ES"/>
                            </w:rPr>
                          </m:ctrlPr>
                        </m:sSubPr>
                        <m:e>
                          <m:r>
                            <w:rPr>
                              <w:rFonts w:ascii="Cambria Math" w:hAnsi="Cambria Math" w:cs="Arial"/>
                              <w:lang w:eastAsia="es-ES"/>
                            </w:rPr>
                            <m:t>X</m:t>
                          </m:r>
                        </m:e>
                        <m:sub>
                          <m:r>
                            <w:rPr>
                              <w:rFonts w:ascii="Cambria Math" w:hAnsi="Cambria Math" w:cs="Arial"/>
                              <w:lang w:eastAsia="es-ES"/>
                            </w:rPr>
                            <m:t>B</m:t>
                          </m:r>
                        </m:sub>
                      </m:sSub>
                    </m:e>
                  </m:acc>
                </m:e>
              </m:eqArr>
            </m:e>
          </m:d>
        </m:oMath>
      </m:oMathPara>
    </w:p>
    <w:p w14:paraId="756CDF2A" w14:textId="77777777" w:rsidR="00C04C4B" w:rsidRPr="00C04C4B" w:rsidRDefault="00C04C4B" w:rsidP="00C04C4B">
      <w:pPr>
        <w:jc w:val="both"/>
        <w:rPr>
          <w:rFonts w:ascii="Garamond" w:hAnsi="Garamond" w:cs="Arial"/>
          <w:lang w:eastAsia="es-ES"/>
        </w:rPr>
      </w:pPr>
      <w:r w:rsidRPr="00C04C4B">
        <w:rPr>
          <w:rFonts w:ascii="Garamond" w:hAnsi="Garamond" w:cs="Arial"/>
          <w:lang w:eastAsia="es-ES"/>
        </w:rPr>
        <w:t>Donde:</w:t>
      </w:r>
    </w:p>
    <w:p w14:paraId="6CBA4039" w14:textId="77777777" w:rsidR="00C04C4B" w:rsidRPr="00C04C4B" w:rsidRDefault="00C04C4B" w:rsidP="00C04C4B">
      <w:pPr>
        <w:jc w:val="both"/>
        <w:rPr>
          <w:rFonts w:ascii="Garamond" w:hAnsi="Garamond" w:cs="Arial"/>
          <w:lang w:eastAsia="es-ES"/>
        </w:rPr>
      </w:pPr>
    </w:p>
    <w:p w14:paraId="403EAF30" w14:textId="77777777" w:rsidR="00C04C4B" w:rsidRPr="00C04C4B" w:rsidRDefault="00C04C4B" w:rsidP="00A23238">
      <w:pPr>
        <w:pStyle w:val="Prrafodelista"/>
        <w:widowControl/>
        <w:numPr>
          <w:ilvl w:val="0"/>
          <w:numId w:val="52"/>
        </w:numPr>
        <w:spacing w:after="200" w:line="276" w:lineRule="auto"/>
        <w:contextualSpacing/>
        <w:rPr>
          <w:rFonts w:ascii="Garamond" w:hAnsi="Garamond" w:cs="Arial"/>
          <w:lang w:eastAsia="es-ES"/>
        </w:rPr>
      </w:pPr>
      <m:oMath>
        <m:acc>
          <m:accPr>
            <m:chr m:val="̅"/>
            <m:ctrlPr>
              <w:rPr>
                <w:rFonts w:ascii="Cambria Math" w:hAnsi="Cambria Math" w:cs="Arial"/>
                <w:lang w:eastAsia="es-ES"/>
              </w:rPr>
            </m:ctrlPr>
          </m:accPr>
          <m:e>
            <m:sSub>
              <m:sSubPr>
                <m:ctrlPr>
                  <w:rPr>
                    <w:rFonts w:ascii="Cambria Math" w:hAnsi="Cambria Math" w:cs="Arial"/>
                    <w:lang w:eastAsia="es-ES"/>
                  </w:rPr>
                </m:ctrlPr>
              </m:sSubPr>
              <m:e>
                <m:r>
                  <m:rPr>
                    <m:sty m:val="p"/>
                  </m:rPr>
                  <w:rPr>
                    <w:rFonts w:ascii="Cambria Math" w:hAnsi="Cambria Math" w:cs="Arial"/>
                    <w:lang w:eastAsia="es-ES"/>
                  </w:rPr>
                  <m:t>X</m:t>
                </m:r>
              </m:e>
              <m:sub>
                <m:r>
                  <m:rPr>
                    <m:sty m:val="p"/>
                  </m:rPr>
                  <w:rPr>
                    <w:rFonts w:ascii="Cambria Math" w:hAnsi="Cambria Math" w:cs="Arial"/>
                    <w:lang w:eastAsia="es-ES"/>
                  </w:rPr>
                  <m:t>B</m:t>
                </m:r>
              </m:sub>
            </m:sSub>
          </m:e>
        </m:acc>
      </m:oMath>
      <w:r w:rsidRPr="00C04C4B">
        <w:rPr>
          <w:rFonts w:ascii="Garamond" w:hAnsi="Garamond" w:cs="Arial"/>
          <w:lang w:eastAsia="es-ES"/>
        </w:rPr>
        <w:t>: Es la media aritmética baja.</w:t>
      </w:r>
    </w:p>
    <w:p w14:paraId="3FD38E3E" w14:textId="77777777" w:rsidR="00C04C4B" w:rsidRPr="00C04C4B" w:rsidRDefault="00C04C4B" w:rsidP="00A23238">
      <w:pPr>
        <w:pStyle w:val="Prrafodelista"/>
        <w:widowControl/>
        <w:numPr>
          <w:ilvl w:val="0"/>
          <w:numId w:val="52"/>
        </w:numPr>
        <w:spacing w:after="200" w:line="276" w:lineRule="auto"/>
        <w:contextualSpacing/>
        <w:rPr>
          <w:rFonts w:ascii="Garamond" w:hAnsi="Garamond" w:cs="Arial"/>
          <w:lang w:eastAsia="es-ES"/>
        </w:rPr>
      </w:pPr>
      <m:oMath>
        <m:sSub>
          <m:sSubPr>
            <m:ctrlPr>
              <w:rPr>
                <w:rFonts w:ascii="Cambria Math" w:hAnsi="Cambria Math" w:cs="Arial"/>
                <w:lang w:eastAsia="es-ES"/>
              </w:rPr>
            </m:ctrlPr>
          </m:sSubPr>
          <m:e>
            <m:r>
              <m:rPr>
                <m:sty m:val="p"/>
              </m:rPr>
              <w:rPr>
                <w:rFonts w:ascii="Cambria Math" w:hAnsi="Cambria Math" w:cs="Arial"/>
                <w:lang w:eastAsia="es-ES"/>
              </w:rPr>
              <m:t>V</m:t>
            </m:r>
          </m:e>
          <m:sub>
            <m:r>
              <m:rPr>
                <m:sty m:val="p"/>
              </m:rPr>
              <w:rPr>
                <w:rFonts w:ascii="Cambria Math" w:hAnsi="Cambria Math" w:cs="Arial"/>
                <w:lang w:eastAsia="es-ES"/>
              </w:rPr>
              <m:t>i</m:t>
            </m:r>
          </m:sub>
        </m:sSub>
      </m:oMath>
      <w:r w:rsidRPr="00C04C4B">
        <w:rPr>
          <w:rFonts w:ascii="Garamond" w:hAnsi="Garamond" w:cs="Arial"/>
          <w:lang w:eastAsia="es-ES"/>
        </w:rPr>
        <w:t>: Es el valor promedio de los SMMLV de los contratos válidos y que no fueron objeto de subsanación de cada una de las propuestas “i”.</w:t>
      </w:r>
    </w:p>
    <w:p w14:paraId="3204B724" w14:textId="77777777" w:rsidR="00C04C4B" w:rsidRPr="00C04C4B" w:rsidRDefault="00C04C4B" w:rsidP="00C04C4B">
      <w:pPr>
        <w:spacing w:after="120"/>
        <w:rPr>
          <w:rFonts w:ascii="Garamond" w:hAnsi="Garamond" w:cs="Arial"/>
        </w:rPr>
      </w:pPr>
    </w:p>
    <w:p w14:paraId="79F2B904" w14:textId="77777777" w:rsidR="00C04C4B" w:rsidRPr="00C04C4B" w:rsidRDefault="00C04C4B" w:rsidP="00C04C4B">
      <w:pPr>
        <w:spacing w:after="120"/>
        <w:jc w:val="both"/>
        <w:rPr>
          <w:rFonts w:ascii="Garamond" w:hAnsi="Garamond" w:cs="Arial"/>
          <w:lang w:val="es-MX"/>
        </w:rPr>
      </w:pPr>
      <w:r w:rsidRPr="00C04C4B">
        <w:rPr>
          <w:rFonts w:ascii="Garamond" w:hAnsi="Garamond" w:cs="Arial"/>
          <w:b/>
          <w:bCs/>
          <w:lang w:val="es-MX"/>
        </w:rPr>
        <w:t>Nota 12</w:t>
      </w:r>
      <w:r w:rsidRPr="00C04C4B">
        <w:rPr>
          <w:rFonts w:ascii="Garamond" w:hAnsi="Garamond" w:cs="Arial"/>
          <w:lang w:val="es-MX"/>
        </w:rPr>
        <w:t xml:space="preserve">: Cuando el resultado de la fórmula anterior sea un número negativo, se asignará 0,0 puntos. Para efectos de ponderar propuestas cuyo valor sea mayor a </w:t>
      </w:r>
      <m:oMath>
        <m:acc>
          <m:accPr>
            <m:chr m:val="̅"/>
            <m:ctrlPr>
              <w:rPr>
                <w:rFonts w:ascii="Cambria Math" w:hAnsi="Cambria Math" w:cs="Arial"/>
                <w:i/>
              </w:rPr>
            </m:ctrlPr>
          </m:accPr>
          <m:e>
            <m:sSub>
              <m:sSubPr>
                <m:ctrlPr>
                  <w:rPr>
                    <w:rFonts w:ascii="Cambria Math" w:hAnsi="Cambria Math" w:cs="Arial"/>
                    <w:i/>
                  </w:rPr>
                </m:ctrlPr>
              </m:sSubPr>
              <m:e>
                <m:r>
                  <w:rPr>
                    <w:rFonts w:ascii="Cambria Math" w:hAnsi="Cambria Math" w:cs="Arial"/>
                  </w:rPr>
                  <m:t>X</m:t>
                </m:r>
              </m:e>
              <m:sub>
                <m:r>
                  <w:rPr>
                    <w:rFonts w:ascii="Cambria Math" w:hAnsi="Cambria Math" w:cs="Arial"/>
                  </w:rPr>
                  <m:t>B</m:t>
                </m:r>
              </m:sub>
            </m:sSub>
          </m:e>
        </m:acc>
      </m:oMath>
      <w:r w:rsidRPr="00C04C4B">
        <w:rPr>
          <w:rFonts w:ascii="Garamond" w:hAnsi="Garamond" w:cs="Arial"/>
          <w:lang w:val="es-MX"/>
        </w:rPr>
        <w:t>, se tomará el valor absoluto de la diferencia entre la media aritmética baja y el valor total corre</w:t>
      </w:r>
      <w:proofErr w:type="spellStart"/>
      <w:r w:rsidRPr="00C04C4B">
        <w:rPr>
          <w:rFonts w:ascii="Garamond" w:hAnsi="Garamond" w:cs="Arial"/>
          <w:lang w:val="es-MX"/>
        </w:rPr>
        <w:t>gido</w:t>
      </w:r>
      <w:proofErr w:type="spellEnd"/>
      <w:r w:rsidRPr="00C04C4B">
        <w:rPr>
          <w:rFonts w:ascii="Garamond" w:hAnsi="Garamond" w:cs="Arial"/>
          <w:lang w:val="es-MX"/>
        </w:rPr>
        <w:t xml:space="preserve"> de cada una de las propuestas.</w:t>
      </w:r>
    </w:p>
    <w:p w14:paraId="6FB0BF98" w14:textId="77777777" w:rsidR="00C04C4B" w:rsidRPr="00C04C4B" w:rsidRDefault="00C04C4B" w:rsidP="00C04C4B">
      <w:pPr>
        <w:jc w:val="both"/>
        <w:rPr>
          <w:rFonts w:ascii="Garamond" w:eastAsia="Arial" w:hAnsi="Garamond"/>
        </w:rPr>
      </w:pPr>
    </w:p>
    <w:p w14:paraId="6AB30ED8" w14:textId="77777777" w:rsidR="00C04C4B" w:rsidRPr="00C04C4B" w:rsidRDefault="00C04C4B" w:rsidP="00A23238">
      <w:pPr>
        <w:pStyle w:val="Capitulo1"/>
        <w:numPr>
          <w:ilvl w:val="2"/>
          <w:numId w:val="54"/>
        </w:numPr>
        <w:tabs>
          <w:tab w:val="left" w:pos="851"/>
        </w:tabs>
        <w:spacing w:line="240" w:lineRule="auto"/>
        <w:jc w:val="both"/>
        <w:rPr>
          <w:rFonts w:ascii="Garamond" w:eastAsia="Arial" w:hAnsi="Garamond"/>
          <w:color w:val="auto"/>
          <w:sz w:val="22"/>
          <w:szCs w:val="22"/>
        </w:rPr>
      </w:pPr>
      <w:bookmarkStart w:id="715" w:name="_Hlk514925570"/>
      <w:bookmarkStart w:id="716" w:name="_Hlk516154444"/>
      <w:r w:rsidRPr="00C04C4B">
        <w:rPr>
          <w:rFonts w:ascii="Garamond" w:eastAsia="Arial" w:hAnsi="Garamond"/>
          <w:color w:val="auto"/>
          <w:sz w:val="22"/>
          <w:szCs w:val="22"/>
        </w:rPr>
        <w:t xml:space="preserve"> </w:t>
      </w:r>
      <w:bookmarkStart w:id="717" w:name="_Toc35616420"/>
      <w:bookmarkStart w:id="718" w:name="_Toc40113364"/>
      <w:bookmarkStart w:id="719" w:name="_Toc108082923"/>
      <w:bookmarkStart w:id="720" w:name="_Toc215132453"/>
      <w:r w:rsidRPr="00C04C4B">
        <w:rPr>
          <w:rFonts w:ascii="Garamond" w:eastAsia="Arial" w:hAnsi="Garamond"/>
          <w:color w:val="auto"/>
          <w:sz w:val="22"/>
          <w:szCs w:val="22"/>
        </w:rPr>
        <w:t>EQUIPO DE TRABAJO</w:t>
      </w:r>
      <w:bookmarkEnd w:id="717"/>
      <w:r w:rsidRPr="00C04C4B">
        <w:rPr>
          <w:rFonts w:ascii="Garamond" w:eastAsia="Arial" w:hAnsi="Garamond"/>
          <w:color w:val="auto"/>
          <w:sz w:val="22"/>
          <w:szCs w:val="22"/>
        </w:rPr>
        <w:t xml:space="preserve"> (Personal Clave Evaluable)</w:t>
      </w:r>
      <w:bookmarkEnd w:id="718"/>
      <w:bookmarkEnd w:id="719"/>
      <w:bookmarkEnd w:id="720"/>
    </w:p>
    <w:p w14:paraId="724D7292" w14:textId="77777777" w:rsidR="00C04C4B" w:rsidRPr="00C04C4B" w:rsidRDefault="00C04C4B" w:rsidP="00C04C4B">
      <w:pPr>
        <w:jc w:val="both"/>
        <w:rPr>
          <w:rFonts w:ascii="Garamond" w:eastAsia="Arial" w:hAnsi="Garamond" w:cs="Arial"/>
        </w:rPr>
      </w:pPr>
      <w:r w:rsidRPr="00C04C4B">
        <w:rPr>
          <w:rFonts w:ascii="Garamond" w:eastAsia="Arial" w:hAnsi="Garamond" w:cs="Arial"/>
        </w:rPr>
        <w:t xml:space="preserve">La asignación de puntaje relacionada con el “Equipo de trabajo (Personal Clave Evaluable)” se realizará de la siguiente manera: </w:t>
      </w:r>
    </w:p>
    <w:p w14:paraId="20313FC8" w14:textId="77777777" w:rsidR="00C04C4B" w:rsidRPr="00C04C4B" w:rsidRDefault="00C04C4B" w:rsidP="00C04C4B">
      <w:pPr>
        <w:jc w:val="both"/>
        <w:rPr>
          <w:rFonts w:ascii="Garamond" w:eastAsia="Arial" w:hAnsi="Garamond" w:cs="Arial"/>
        </w:rPr>
      </w:pPr>
      <w:r w:rsidRPr="00C04C4B">
        <w:rPr>
          <w:rFonts w:ascii="Garamond" w:eastAsia="Arial" w:hAnsi="Garamond" w:cs="Arial"/>
        </w:rPr>
        <w:t xml:space="preserve"> </w:t>
      </w:r>
    </w:p>
    <w:tbl>
      <w:tblPr>
        <w:tblStyle w:val="Tabladelista2-nfasis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2402"/>
      </w:tblGrid>
      <w:tr w:rsidR="00C04C4B" w:rsidRPr="00C04C4B" w14:paraId="49F70892" w14:textId="77777777" w:rsidTr="00CE73D4">
        <w:trPr>
          <w:cnfStyle w:val="100000000000" w:firstRow="1" w:lastRow="0" w:firstColumn="0" w:lastColumn="0" w:oddVBand="0" w:evenVBand="0" w:oddHBand="0" w:evenHBand="0" w:firstRowFirstColumn="0" w:firstRowLastColumn="0" w:lastRowFirstColumn="0" w:lastRowLastColumn="0"/>
          <w:trHeight w:val="238"/>
          <w:tblHeader/>
          <w:jc w:val="center"/>
        </w:trPr>
        <w:tc>
          <w:tcPr>
            <w:cnfStyle w:val="001000000000" w:firstRow="0" w:lastRow="0" w:firstColumn="1" w:lastColumn="0" w:oddVBand="0" w:evenVBand="0" w:oddHBand="0" w:evenHBand="0" w:firstRowFirstColumn="0" w:firstRowLastColumn="0" w:lastRowFirstColumn="0" w:lastRowLastColumn="0"/>
            <w:tcW w:w="3828" w:type="dxa"/>
          </w:tcPr>
          <w:p w14:paraId="1C688F22" w14:textId="77777777" w:rsidR="00C04C4B" w:rsidRPr="00C04C4B" w:rsidRDefault="00C04C4B" w:rsidP="00CE73D4">
            <w:pPr>
              <w:jc w:val="center"/>
              <w:rPr>
                <w:rFonts w:ascii="Garamond" w:hAnsi="Garamond" w:cs="Arial"/>
              </w:rPr>
            </w:pPr>
            <w:r w:rsidRPr="00C04C4B">
              <w:rPr>
                <w:rFonts w:ascii="Garamond" w:hAnsi="Garamond" w:cs="Arial"/>
              </w:rPr>
              <w:lastRenderedPageBreak/>
              <w:t>Criterio de evaluación</w:t>
            </w:r>
          </w:p>
        </w:tc>
        <w:tc>
          <w:tcPr>
            <w:tcW w:w="2402" w:type="dxa"/>
          </w:tcPr>
          <w:p w14:paraId="7247DD05" w14:textId="77777777" w:rsidR="00C04C4B" w:rsidRPr="00C04C4B" w:rsidRDefault="00C04C4B" w:rsidP="00CE73D4">
            <w:pPr>
              <w:jc w:val="center"/>
              <w:cnfStyle w:val="100000000000" w:firstRow="1" w:lastRow="0" w:firstColumn="0" w:lastColumn="0" w:oddVBand="0" w:evenVBand="0" w:oddHBand="0" w:evenHBand="0" w:firstRowFirstColumn="0" w:firstRowLastColumn="0" w:lastRowFirstColumn="0" w:lastRowLastColumn="0"/>
              <w:rPr>
                <w:rFonts w:ascii="Garamond" w:hAnsi="Garamond" w:cs="Arial"/>
              </w:rPr>
            </w:pPr>
            <w:r w:rsidRPr="00C04C4B">
              <w:rPr>
                <w:rFonts w:ascii="Garamond" w:hAnsi="Garamond" w:cs="Arial"/>
              </w:rPr>
              <w:t>Puntaje</w:t>
            </w:r>
          </w:p>
        </w:tc>
      </w:tr>
      <w:tr w:rsidR="00C04C4B" w:rsidRPr="00C04C4B" w14:paraId="4CA7D95F" w14:textId="77777777" w:rsidTr="00CE73D4">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828" w:type="dxa"/>
            <w:vAlign w:val="center"/>
          </w:tcPr>
          <w:p w14:paraId="25109757" w14:textId="77777777" w:rsidR="00C04C4B" w:rsidRPr="00C04C4B" w:rsidRDefault="00C04C4B" w:rsidP="00CE73D4">
            <w:pPr>
              <w:jc w:val="both"/>
              <w:rPr>
                <w:rFonts w:ascii="Garamond" w:hAnsi="Garamond" w:cs="Arial"/>
                <w:b w:val="0"/>
                <w:bCs w:val="0"/>
                <w:i/>
                <w:iCs/>
              </w:rPr>
            </w:pPr>
            <w:r w:rsidRPr="00C04C4B">
              <w:rPr>
                <w:rFonts w:ascii="Garamond" w:hAnsi="Garamond" w:cs="Arial"/>
                <w:i/>
                <w:iCs/>
              </w:rPr>
              <w:t>Experiencia adicional del Personal Clave Evaluable</w:t>
            </w:r>
          </w:p>
        </w:tc>
        <w:tc>
          <w:tcPr>
            <w:tcW w:w="2402" w:type="dxa"/>
            <w:vAlign w:val="center"/>
          </w:tcPr>
          <w:p w14:paraId="088AB754" w14:textId="77777777" w:rsidR="00C04C4B" w:rsidRPr="00C04C4B" w:rsidRDefault="00C04C4B" w:rsidP="00CE73D4">
            <w:pPr>
              <w:jc w:val="center"/>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C04C4B">
              <w:rPr>
                <w:rFonts w:ascii="Garamond" w:hAnsi="Garamond" w:cs="Arial"/>
              </w:rPr>
              <w:t xml:space="preserve">5 </w:t>
            </w:r>
          </w:p>
        </w:tc>
      </w:tr>
      <w:tr w:rsidR="00C04C4B" w:rsidRPr="00C04C4B" w14:paraId="2DC9BBB7" w14:textId="77777777" w:rsidTr="00CE73D4">
        <w:trPr>
          <w:trHeight w:val="246"/>
          <w:jc w:val="center"/>
        </w:trPr>
        <w:tc>
          <w:tcPr>
            <w:cnfStyle w:val="001000000000" w:firstRow="0" w:lastRow="0" w:firstColumn="1" w:lastColumn="0" w:oddVBand="0" w:evenVBand="0" w:oddHBand="0" w:evenHBand="0" w:firstRowFirstColumn="0" w:firstRowLastColumn="0" w:lastRowFirstColumn="0" w:lastRowLastColumn="0"/>
            <w:tcW w:w="3828" w:type="dxa"/>
            <w:vAlign w:val="center"/>
          </w:tcPr>
          <w:p w14:paraId="5E4AF2C4" w14:textId="77777777" w:rsidR="00C04C4B" w:rsidRPr="00C04C4B" w:rsidRDefault="00C04C4B" w:rsidP="00CE73D4">
            <w:pPr>
              <w:jc w:val="both"/>
              <w:rPr>
                <w:rFonts w:ascii="Garamond" w:hAnsi="Garamond" w:cs="Arial"/>
                <w:b w:val="0"/>
                <w:bCs w:val="0"/>
                <w:i/>
                <w:iCs/>
              </w:rPr>
            </w:pPr>
            <w:r w:rsidRPr="00C04C4B">
              <w:rPr>
                <w:rFonts w:ascii="Garamond" w:hAnsi="Garamond" w:cs="Arial"/>
                <w:i/>
                <w:iCs/>
              </w:rPr>
              <w:t xml:space="preserve">Formación académica adicional del Personal Clave Evaluable </w:t>
            </w:r>
          </w:p>
        </w:tc>
        <w:tc>
          <w:tcPr>
            <w:tcW w:w="2402" w:type="dxa"/>
            <w:vAlign w:val="center"/>
          </w:tcPr>
          <w:p w14:paraId="7C50408F" w14:textId="77777777" w:rsidR="00C04C4B" w:rsidRPr="00C04C4B" w:rsidRDefault="00C04C4B" w:rsidP="00CE73D4">
            <w:pPr>
              <w:jc w:val="center"/>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C04C4B">
              <w:rPr>
                <w:rFonts w:ascii="Garamond" w:hAnsi="Garamond" w:cs="Arial"/>
              </w:rPr>
              <w:t xml:space="preserve">5 </w:t>
            </w:r>
          </w:p>
        </w:tc>
      </w:tr>
      <w:tr w:rsidR="00C04C4B" w:rsidRPr="00C04C4B" w14:paraId="7E45CF0F" w14:textId="77777777" w:rsidTr="00CE73D4">
        <w:trPr>
          <w:cnfStyle w:val="000000100000" w:firstRow="0" w:lastRow="0" w:firstColumn="0" w:lastColumn="0" w:oddVBand="0" w:evenVBand="0" w:oddHBand="1" w:evenHBand="0" w:firstRowFirstColumn="0" w:firstRowLastColumn="0" w:lastRowFirstColumn="0" w:lastRowLastColumn="0"/>
          <w:trHeight w:val="246"/>
          <w:jc w:val="center"/>
        </w:trPr>
        <w:tc>
          <w:tcPr>
            <w:cnfStyle w:val="001000000000" w:firstRow="0" w:lastRow="0" w:firstColumn="1" w:lastColumn="0" w:oddVBand="0" w:evenVBand="0" w:oddHBand="0" w:evenHBand="0" w:firstRowFirstColumn="0" w:firstRowLastColumn="0" w:lastRowFirstColumn="0" w:lastRowLastColumn="0"/>
            <w:tcW w:w="3828" w:type="dxa"/>
            <w:vAlign w:val="center"/>
          </w:tcPr>
          <w:p w14:paraId="2F33286F" w14:textId="77777777" w:rsidR="00C04C4B" w:rsidRPr="00C04C4B" w:rsidRDefault="00C04C4B" w:rsidP="00CE73D4">
            <w:pPr>
              <w:jc w:val="center"/>
              <w:rPr>
                <w:rFonts w:ascii="Garamond" w:hAnsi="Garamond" w:cs="Arial"/>
                <w:b w:val="0"/>
                <w:bCs w:val="0"/>
              </w:rPr>
            </w:pPr>
            <w:r w:rsidRPr="00C04C4B">
              <w:rPr>
                <w:rFonts w:ascii="Garamond" w:hAnsi="Garamond" w:cs="Arial"/>
              </w:rPr>
              <w:t xml:space="preserve">Total </w:t>
            </w:r>
          </w:p>
        </w:tc>
        <w:tc>
          <w:tcPr>
            <w:tcW w:w="2402" w:type="dxa"/>
            <w:vAlign w:val="center"/>
          </w:tcPr>
          <w:p w14:paraId="58A2F2B4" w14:textId="77777777" w:rsidR="00C04C4B" w:rsidRPr="00C04C4B" w:rsidRDefault="00C04C4B" w:rsidP="00CE73D4">
            <w:pPr>
              <w:jc w:val="center"/>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C04C4B">
              <w:rPr>
                <w:rFonts w:ascii="Garamond" w:hAnsi="Garamond" w:cs="Arial"/>
              </w:rPr>
              <w:t>10</w:t>
            </w:r>
          </w:p>
        </w:tc>
      </w:tr>
    </w:tbl>
    <w:p w14:paraId="57257353" w14:textId="77777777" w:rsidR="00C04C4B" w:rsidRPr="00C04C4B" w:rsidRDefault="00C04C4B" w:rsidP="00C04C4B">
      <w:pPr>
        <w:jc w:val="both"/>
        <w:rPr>
          <w:rFonts w:ascii="Garamond" w:eastAsia="Arial" w:hAnsi="Garamond" w:cs="Arial"/>
          <w:b/>
          <w:lang w:eastAsia="es-ES"/>
        </w:rPr>
      </w:pPr>
    </w:p>
    <w:p w14:paraId="52C6212D" w14:textId="066205E5" w:rsidR="00C04C4B" w:rsidRPr="00C04C4B" w:rsidRDefault="00C04C4B" w:rsidP="00A23238">
      <w:pPr>
        <w:pStyle w:val="Capitulo1"/>
        <w:numPr>
          <w:ilvl w:val="3"/>
          <w:numId w:val="54"/>
        </w:numPr>
        <w:tabs>
          <w:tab w:val="left" w:pos="851"/>
        </w:tabs>
        <w:spacing w:line="240" w:lineRule="auto"/>
        <w:jc w:val="both"/>
        <w:rPr>
          <w:rFonts w:ascii="Garamond" w:eastAsia="Arial" w:hAnsi="Garamond"/>
          <w:color w:val="auto"/>
          <w:sz w:val="22"/>
          <w:szCs w:val="22"/>
        </w:rPr>
      </w:pPr>
      <w:bookmarkStart w:id="721" w:name="_Toc108082924"/>
      <w:bookmarkStart w:id="722" w:name="_Toc215132454"/>
      <w:r>
        <w:rPr>
          <w:rFonts w:ascii="Garamond" w:eastAsia="Arial" w:hAnsi="Garamond"/>
          <w:color w:val="auto"/>
          <w:sz w:val="22"/>
          <w:szCs w:val="22"/>
        </w:rPr>
        <w:t>E</w:t>
      </w:r>
      <w:r w:rsidRPr="00C04C4B">
        <w:rPr>
          <w:rFonts w:ascii="Garamond" w:eastAsia="Arial" w:hAnsi="Garamond"/>
          <w:color w:val="auto"/>
          <w:sz w:val="22"/>
          <w:szCs w:val="22"/>
        </w:rPr>
        <w:t>XPERIENCIA ESPECÍFICA ADICIONAL</w:t>
      </w:r>
      <w:bookmarkEnd w:id="721"/>
      <w:bookmarkEnd w:id="722"/>
      <w:r w:rsidRPr="00C04C4B">
        <w:rPr>
          <w:rFonts w:ascii="Garamond" w:eastAsia="Arial" w:hAnsi="Garamond"/>
          <w:color w:val="auto"/>
          <w:sz w:val="22"/>
          <w:szCs w:val="22"/>
        </w:rPr>
        <w:t xml:space="preserve"> </w:t>
      </w:r>
    </w:p>
    <w:p w14:paraId="15F39604" w14:textId="77777777" w:rsidR="00C04C4B" w:rsidRPr="00C04C4B" w:rsidRDefault="00C04C4B" w:rsidP="00C04C4B">
      <w:pPr>
        <w:jc w:val="both"/>
        <w:rPr>
          <w:rFonts w:ascii="Garamond" w:eastAsia="Arial" w:hAnsi="Garamond" w:cs="Arial"/>
          <w:b/>
          <w:bCs/>
        </w:rPr>
      </w:pPr>
      <w:r w:rsidRPr="00C04C4B">
        <w:rPr>
          <w:rFonts w:ascii="Garamond" w:eastAsia="Arial" w:hAnsi="Garamond" w:cs="Arial"/>
          <w:b/>
          <w:bCs/>
        </w:rPr>
        <w:t xml:space="preserve"> </w:t>
      </w:r>
    </w:p>
    <w:p w14:paraId="3CCEC2B0" w14:textId="594413F2" w:rsidR="00C04C4B" w:rsidRPr="00C04C4B" w:rsidRDefault="00C04C4B" w:rsidP="00C04C4B">
      <w:pPr>
        <w:jc w:val="both"/>
        <w:rPr>
          <w:rFonts w:ascii="Garamond" w:eastAsia="Arial" w:hAnsi="Garamond" w:cs="Arial"/>
        </w:rPr>
      </w:pPr>
      <w:r w:rsidRPr="00C04C4B">
        <w:rPr>
          <w:rFonts w:ascii="Garamond" w:eastAsia="Arial" w:hAnsi="Garamond" w:cs="Arial"/>
        </w:rPr>
        <w:t xml:space="preserve">La Entidad </w:t>
      </w:r>
      <w:r w:rsidRPr="00963822">
        <w:rPr>
          <w:rFonts w:ascii="Garamond" w:eastAsia="Arial" w:hAnsi="Garamond" w:cs="Arial"/>
        </w:rPr>
        <w:t>asignará cinco (5) puntos al Proponente que se comprometa con el diligenciamiento del “Formato 9 - Experiencia y formación académica adicional del Personal Clave Evaluable” a acreditar que [cada uno de los integrantes</w:t>
      </w:r>
      <w:r w:rsidRPr="00963822">
        <w:rPr>
          <w:rFonts w:ascii="Garamond" w:eastAsia="Arial" w:hAnsi="Garamond" w:cs="Arial"/>
          <w:b/>
          <w:bCs/>
          <w:i/>
          <w:iCs/>
        </w:rPr>
        <w:t xml:space="preserve"> </w:t>
      </w:r>
      <w:r w:rsidRPr="00963822">
        <w:rPr>
          <w:rFonts w:ascii="Garamond" w:eastAsia="Arial" w:hAnsi="Garamond" w:cs="Arial"/>
        </w:rPr>
        <w:t>que conforman el Personal Clave Evaluable: i) el Director de Interventoría tienen un (1) año de experiencia específica adicional a la definida en la “Matriz 4 – Lineamientos de requisitos del Personal”. [Es decir, si el requisito mínimo de experiencia específica es de dos (2) años, se otorgará puntaje por una experiencia adicional de un (1) año, para un total de tres (3) años.]</w:t>
      </w:r>
      <w:r w:rsidRPr="00C04C4B">
        <w:rPr>
          <w:rFonts w:ascii="Garamond" w:eastAsia="Arial" w:hAnsi="Garamond" w:cs="Arial"/>
        </w:rPr>
        <w:t xml:space="preserve"> </w:t>
      </w:r>
    </w:p>
    <w:p w14:paraId="1420ABF3" w14:textId="77777777" w:rsidR="00C04C4B" w:rsidRPr="00C04C4B" w:rsidRDefault="00C04C4B" w:rsidP="00C04C4B">
      <w:pPr>
        <w:jc w:val="both"/>
        <w:rPr>
          <w:rFonts w:ascii="Garamond" w:eastAsia="Arial" w:hAnsi="Garamond" w:cs="Arial"/>
        </w:rPr>
      </w:pPr>
    </w:p>
    <w:p w14:paraId="44713290" w14:textId="77777777" w:rsidR="00C04C4B" w:rsidRPr="00C04C4B" w:rsidRDefault="00C04C4B" w:rsidP="00C04C4B">
      <w:pPr>
        <w:jc w:val="both"/>
        <w:rPr>
          <w:rFonts w:ascii="Garamond" w:eastAsia="Arial" w:hAnsi="Garamond" w:cs="Arial"/>
        </w:rPr>
      </w:pPr>
      <w:r w:rsidRPr="00C04C4B">
        <w:rPr>
          <w:rFonts w:ascii="Garamond" w:eastAsia="Arial" w:hAnsi="Garamond" w:cs="Arial"/>
        </w:rPr>
        <w:t xml:space="preserve">Para otorgar el puntaje basta con diligenciar el “Formato 9 - Experiencia y formación académica adicional del Personal Clave Evaluable”. Por tanto, </w:t>
      </w:r>
      <w:r w:rsidRPr="00C04C4B">
        <w:rPr>
          <w:rFonts w:ascii="Garamond" w:eastAsia="Arial" w:hAnsi="Garamond" w:cs="Arial"/>
          <w:u w:val="single"/>
        </w:rPr>
        <w:t>no se revisarán los soportes de experiencia del Personal Clave Evaluable durante la evaluación de las ofertas</w:t>
      </w:r>
      <w:r w:rsidRPr="00C04C4B">
        <w:rPr>
          <w:rFonts w:ascii="Garamond" w:eastAsia="Arial" w:hAnsi="Garamond" w:cs="Arial"/>
        </w:rPr>
        <w:t>. La verificación de los documentos relacionados con el Personal Clave Evaluable se hará de acuerdo con lo señalado en el numeral 9.1 “Información para el control de la ejecución” del Pliego de Condiciones.</w:t>
      </w:r>
    </w:p>
    <w:p w14:paraId="45AD9B60" w14:textId="77777777" w:rsidR="00C04C4B" w:rsidRPr="00C04C4B" w:rsidRDefault="00C04C4B" w:rsidP="00C04C4B">
      <w:pPr>
        <w:jc w:val="both"/>
        <w:rPr>
          <w:rFonts w:ascii="Garamond" w:eastAsia="Arial" w:hAnsi="Garamond" w:cs="Arial"/>
        </w:rPr>
      </w:pPr>
      <w:r w:rsidRPr="00C04C4B">
        <w:rPr>
          <w:rFonts w:ascii="Garamond" w:eastAsia="Arial" w:hAnsi="Garamond" w:cs="Arial"/>
        </w:rPr>
        <w:t xml:space="preserve"> </w:t>
      </w:r>
    </w:p>
    <w:p w14:paraId="302E7C48" w14:textId="77777777" w:rsidR="00C04C4B" w:rsidRPr="00C04C4B" w:rsidRDefault="00C04C4B" w:rsidP="00A23238">
      <w:pPr>
        <w:pStyle w:val="Prrafodelista"/>
        <w:widowControl/>
        <w:numPr>
          <w:ilvl w:val="0"/>
          <w:numId w:val="48"/>
        </w:numPr>
        <w:spacing w:after="200"/>
        <w:contextualSpacing/>
        <w:rPr>
          <w:rFonts w:ascii="Garamond" w:eastAsiaTheme="minorEastAsia" w:hAnsi="Garamond" w:cs="Arial"/>
        </w:rPr>
      </w:pPr>
      <w:r w:rsidRPr="00C04C4B">
        <w:rPr>
          <w:rFonts w:ascii="Garamond" w:hAnsi="Garamond" w:cs="Arial"/>
        </w:rPr>
        <w:t xml:space="preserve">Se entiende por “Experiencia específica adicional” la experiencia directamente relacionada con el cargo a desempeñar. </w:t>
      </w:r>
    </w:p>
    <w:p w14:paraId="026297CC" w14:textId="77777777" w:rsidR="00C04C4B" w:rsidRPr="00C04C4B" w:rsidRDefault="00C04C4B" w:rsidP="00C04C4B">
      <w:pPr>
        <w:pStyle w:val="Prrafodelista"/>
        <w:rPr>
          <w:rFonts w:ascii="Garamond" w:eastAsia="Arial" w:hAnsi="Garamond" w:cs="Arial"/>
        </w:rPr>
      </w:pPr>
    </w:p>
    <w:p w14:paraId="1B662515" w14:textId="77777777" w:rsidR="00C04C4B" w:rsidRPr="00C04C4B" w:rsidRDefault="00C04C4B" w:rsidP="00A23238">
      <w:pPr>
        <w:pStyle w:val="Prrafodelista"/>
        <w:widowControl/>
        <w:numPr>
          <w:ilvl w:val="0"/>
          <w:numId w:val="48"/>
        </w:numPr>
        <w:spacing w:after="200"/>
        <w:contextualSpacing/>
        <w:rPr>
          <w:rFonts w:ascii="Garamond" w:eastAsiaTheme="minorEastAsia" w:hAnsi="Garamond" w:cs="Arial"/>
        </w:rPr>
      </w:pPr>
      <w:r w:rsidRPr="00C04C4B">
        <w:rPr>
          <w:rFonts w:ascii="Garamond" w:hAnsi="Garamond" w:cs="Arial"/>
        </w:rPr>
        <w:t xml:space="preserve">La contabilización total de la experiencia se realizará en años. En caso de ser necesario se hará la conversión de meses o días a años para la contabilización. </w:t>
      </w:r>
    </w:p>
    <w:p w14:paraId="38A96468" w14:textId="77777777" w:rsidR="00C04C4B" w:rsidRPr="00C04C4B" w:rsidRDefault="00C04C4B" w:rsidP="00C04C4B">
      <w:pPr>
        <w:pStyle w:val="Prrafodelista"/>
        <w:rPr>
          <w:rFonts w:ascii="Garamond" w:eastAsia="Arial" w:hAnsi="Garamond" w:cs="Arial"/>
        </w:rPr>
      </w:pPr>
    </w:p>
    <w:p w14:paraId="557DC917" w14:textId="77777777" w:rsidR="00C04C4B" w:rsidRPr="00C04C4B" w:rsidRDefault="00C04C4B" w:rsidP="00A23238">
      <w:pPr>
        <w:pStyle w:val="Prrafodelista"/>
        <w:widowControl/>
        <w:numPr>
          <w:ilvl w:val="0"/>
          <w:numId w:val="48"/>
        </w:numPr>
        <w:spacing w:after="200"/>
        <w:contextualSpacing/>
        <w:rPr>
          <w:rFonts w:ascii="Garamond" w:eastAsia="Arial" w:hAnsi="Garamond" w:cs="Arial"/>
        </w:rPr>
      </w:pPr>
      <w:r w:rsidRPr="00C04C4B">
        <w:rPr>
          <w:rFonts w:ascii="Garamond" w:hAnsi="Garamond" w:cs="Arial"/>
        </w:rPr>
        <w:t xml:space="preserve">Las reglas de equivalencias descritas en la “Matriz 4 – Lineamientos de Requisitos del Personal” no aplican para el otorgamiento de puntaje, solamente para verificar que el profesional cumple con la experiencia mínima requerida por la Entidad. </w:t>
      </w:r>
    </w:p>
    <w:p w14:paraId="559852FE" w14:textId="23BE1E88" w:rsidR="00C04C4B" w:rsidRPr="00C04C4B" w:rsidRDefault="00C04C4B" w:rsidP="00C04C4B">
      <w:pPr>
        <w:jc w:val="both"/>
        <w:rPr>
          <w:rFonts w:ascii="Garamond" w:eastAsia="Arial" w:hAnsi="Garamond" w:cs="Arial"/>
        </w:rPr>
      </w:pPr>
      <w:r w:rsidRPr="00C04C4B">
        <w:rPr>
          <w:rFonts w:ascii="Garamond" w:eastAsia="Arial" w:hAnsi="Garamond" w:cs="Arial"/>
        </w:rPr>
        <w:t xml:space="preserve">En el caso de que la Entidad establezca más de un profesional por cargo, cada uno de ellos deberá cumplir con el año de experiencia específica adicional. </w:t>
      </w:r>
    </w:p>
    <w:p w14:paraId="63462481" w14:textId="2F260FCC" w:rsidR="00C04C4B" w:rsidRPr="00C04C4B" w:rsidRDefault="00C04C4B" w:rsidP="00C04C4B">
      <w:pPr>
        <w:jc w:val="both"/>
        <w:rPr>
          <w:rFonts w:ascii="Garamond" w:eastAsia="Arial" w:hAnsi="Garamond" w:cs="Arial"/>
          <w:highlight w:val="lightGray"/>
        </w:rPr>
      </w:pPr>
      <w:r w:rsidRPr="00C04C4B">
        <w:rPr>
          <w:rFonts w:ascii="Garamond" w:eastAsia="Arial" w:hAnsi="Garamond" w:cs="Arial"/>
          <w:highlight w:val="lightGray"/>
        </w:rPr>
        <w:t xml:space="preserve"> </w:t>
      </w:r>
    </w:p>
    <w:p w14:paraId="58ADE75F" w14:textId="3B213E33" w:rsidR="00C04C4B" w:rsidRPr="00C04C4B" w:rsidRDefault="00C04C4B" w:rsidP="00C04C4B">
      <w:pPr>
        <w:jc w:val="both"/>
        <w:rPr>
          <w:rFonts w:ascii="Garamond" w:eastAsia="Arial" w:hAnsi="Garamond" w:cs="Arial"/>
        </w:rPr>
      </w:pPr>
      <w:r w:rsidRPr="00C04C4B">
        <w:rPr>
          <w:rFonts w:ascii="Garamond" w:eastAsia="Arial" w:hAnsi="Garamond" w:cs="Arial"/>
        </w:rPr>
        <w:t xml:space="preserve">  “Acreditación de experiencia y formación académica del equipo de trabajo y del Personal Clave Evaluable”.</w:t>
      </w:r>
    </w:p>
    <w:p w14:paraId="22921E0D" w14:textId="77777777" w:rsidR="00C04C4B" w:rsidRPr="00C04C4B" w:rsidRDefault="00C04C4B" w:rsidP="00C04C4B">
      <w:pPr>
        <w:jc w:val="both"/>
        <w:rPr>
          <w:rFonts w:ascii="Garamond" w:eastAsia="Arial" w:hAnsi="Garamond" w:cs="Arial"/>
        </w:rPr>
      </w:pPr>
      <w:r w:rsidRPr="00C04C4B">
        <w:rPr>
          <w:rFonts w:ascii="Garamond" w:eastAsia="Arial" w:hAnsi="Garamond" w:cs="Arial"/>
        </w:rPr>
        <w:t xml:space="preserve"> </w:t>
      </w:r>
    </w:p>
    <w:p w14:paraId="5A9799D6" w14:textId="77777777" w:rsidR="00C04C4B" w:rsidRPr="00C04C4B" w:rsidRDefault="00C04C4B" w:rsidP="00A23238">
      <w:pPr>
        <w:pStyle w:val="Prrafodelista"/>
        <w:widowControl/>
        <w:numPr>
          <w:ilvl w:val="0"/>
          <w:numId w:val="27"/>
        </w:numPr>
        <w:spacing w:line="276" w:lineRule="auto"/>
        <w:contextualSpacing/>
        <w:rPr>
          <w:rFonts w:ascii="Garamond" w:eastAsia="Arial" w:hAnsi="Garamond" w:cs="Arial"/>
        </w:rPr>
      </w:pPr>
      <w:r w:rsidRPr="00C04C4B">
        <w:rPr>
          <w:rFonts w:ascii="Garamond" w:eastAsia="Arial" w:hAnsi="Garamond" w:cs="Arial"/>
        </w:rPr>
        <w:t xml:space="preserve">Se entiende por “Experiencia específica adicional” la experiencia directamente relacionada con el cargo a desempeñar. </w:t>
      </w:r>
    </w:p>
    <w:p w14:paraId="04F57AAA" w14:textId="77777777" w:rsidR="00C04C4B" w:rsidRPr="00C04C4B" w:rsidRDefault="00C04C4B" w:rsidP="00C04C4B">
      <w:pPr>
        <w:jc w:val="both"/>
        <w:rPr>
          <w:rFonts w:ascii="Garamond" w:eastAsia="Arial" w:hAnsi="Garamond" w:cs="Arial"/>
        </w:rPr>
      </w:pPr>
      <w:r w:rsidRPr="00C04C4B">
        <w:rPr>
          <w:rFonts w:ascii="Garamond" w:eastAsia="Arial" w:hAnsi="Garamond" w:cs="Arial"/>
        </w:rPr>
        <w:lastRenderedPageBreak/>
        <w:t xml:space="preserve"> </w:t>
      </w:r>
    </w:p>
    <w:p w14:paraId="586F9004" w14:textId="77777777" w:rsidR="00C04C4B" w:rsidRPr="00C04C4B" w:rsidRDefault="00C04C4B" w:rsidP="00A23238">
      <w:pPr>
        <w:pStyle w:val="Prrafodelista"/>
        <w:widowControl/>
        <w:numPr>
          <w:ilvl w:val="0"/>
          <w:numId w:val="27"/>
        </w:numPr>
        <w:spacing w:line="276" w:lineRule="auto"/>
        <w:contextualSpacing/>
        <w:rPr>
          <w:rFonts w:ascii="Garamond" w:eastAsia="Arial" w:hAnsi="Garamond" w:cs="Arial"/>
        </w:rPr>
      </w:pPr>
      <w:r w:rsidRPr="00C04C4B">
        <w:rPr>
          <w:rFonts w:ascii="Garamond" w:eastAsia="Arial" w:hAnsi="Garamond" w:cs="Arial"/>
        </w:rPr>
        <w:t xml:space="preserve">La contabilización total de la experiencia se realizará en años. En caso de ser necesario se hará la conversión de meses o días a años para la contabilización. </w:t>
      </w:r>
    </w:p>
    <w:p w14:paraId="4AF4D580" w14:textId="77777777" w:rsidR="00C04C4B" w:rsidRPr="00C04C4B" w:rsidRDefault="00C04C4B" w:rsidP="00C04C4B">
      <w:pPr>
        <w:jc w:val="both"/>
        <w:rPr>
          <w:rFonts w:ascii="Garamond" w:eastAsia="Arial" w:hAnsi="Garamond" w:cs="Arial"/>
        </w:rPr>
      </w:pPr>
      <w:r w:rsidRPr="00C04C4B">
        <w:rPr>
          <w:rFonts w:ascii="Garamond" w:eastAsia="Arial" w:hAnsi="Garamond" w:cs="Arial"/>
        </w:rPr>
        <w:t xml:space="preserve"> </w:t>
      </w:r>
    </w:p>
    <w:p w14:paraId="2DAF667E" w14:textId="77777777" w:rsidR="00C04C4B" w:rsidRPr="00C04C4B" w:rsidRDefault="00C04C4B" w:rsidP="00C04C4B">
      <w:pPr>
        <w:jc w:val="both"/>
        <w:rPr>
          <w:rFonts w:ascii="Garamond" w:eastAsia="Arial" w:hAnsi="Garamond" w:cs="Arial"/>
        </w:rPr>
      </w:pPr>
      <w:r w:rsidRPr="00C04C4B">
        <w:rPr>
          <w:rFonts w:ascii="Garamond" w:eastAsia="Arial" w:hAnsi="Garamond" w:cs="Arial"/>
        </w:rPr>
        <w:t xml:space="preserve">Las reglas de equivalencias descritas en la “Matriz 4 – Lineamientos de Requisitos del Personal” no aplican para el otorgamiento de puntaje, solamente para verificar que el profesional cumple con la experiencia mínima requerida por la Entidad. </w:t>
      </w:r>
    </w:p>
    <w:p w14:paraId="3CFBC531" w14:textId="77777777" w:rsidR="00C04C4B" w:rsidRPr="00C04C4B" w:rsidRDefault="00C04C4B" w:rsidP="00C04C4B">
      <w:pPr>
        <w:jc w:val="both"/>
        <w:rPr>
          <w:rFonts w:ascii="Garamond" w:eastAsia="Arial" w:hAnsi="Garamond" w:cs="Arial"/>
        </w:rPr>
      </w:pPr>
    </w:p>
    <w:p w14:paraId="21C8C557" w14:textId="77777777" w:rsidR="00C04C4B" w:rsidRPr="00C04C4B" w:rsidRDefault="00C04C4B" w:rsidP="00C04C4B">
      <w:pPr>
        <w:jc w:val="both"/>
        <w:rPr>
          <w:rFonts w:ascii="Garamond" w:eastAsia="Arial" w:hAnsi="Garamond" w:cs="Arial"/>
        </w:rPr>
      </w:pPr>
      <w:r w:rsidRPr="00C04C4B">
        <w:rPr>
          <w:rFonts w:ascii="Garamond" w:eastAsia="Arial" w:hAnsi="Garamond" w:cs="Arial"/>
        </w:rPr>
        <w:t xml:space="preserve">En el caso de que la Entidad establezca más de un profesional por cargo, cada uno de ellos deberá cumplir con el año de experiencia específica </w:t>
      </w:r>
      <w:r w:rsidRPr="00963822">
        <w:rPr>
          <w:rFonts w:ascii="Garamond" w:eastAsia="Arial" w:hAnsi="Garamond" w:cs="Arial"/>
        </w:rPr>
        <w:t>adicional. [Es decir, si la Entidad considera que el proyecto requiere dos (2) residentes, para que el oferente sea acreedor de dicho puntaje debe cumplir con el requisito adicional en relación con los dos (2) residentes]</w:t>
      </w:r>
    </w:p>
    <w:p w14:paraId="2E475A98" w14:textId="77777777" w:rsidR="00C04C4B" w:rsidRPr="00C04C4B" w:rsidRDefault="00C04C4B" w:rsidP="00C04C4B">
      <w:pPr>
        <w:jc w:val="both"/>
        <w:rPr>
          <w:rFonts w:ascii="Garamond" w:eastAsia="Arial" w:hAnsi="Garamond" w:cs="Arial"/>
          <w:highlight w:val="lightGray"/>
          <w:lang w:eastAsia="es-ES"/>
        </w:rPr>
      </w:pPr>
    </w:p>
    <w:p w14:paraId="026B57B5" w14:textId="22358E73" w:rsidR="00C04C4B" w:rsidRPr="00C04C4B" w:rsidRDefault="00C04C4B" w:rsidP="00A23238">
      <w:pPr>
        <w:pStyle w:val="Capitulo1"/>
        <w:numPr>
          <w:ilvl w:val="3"/>
          <w:numId w:val="54"/>
        </w:numPr>
        <w:tabs>
          <w:tab w:val="left" w:pos="851"/>
        </w:tabs>
        <w:spacing w:line="240" w:lineRule="auto"/>
        <w:jc w:val="both"/>
        <w:rPr>
          <w:rFonts w:ascii="Garamond" w:eastAsia="Arial" w:hAnsi="Garamond"/>
          <w:color w:val="auto"/>
          <w:sz w:val="22"/>
          <w:szCs w:val="22"/>
        </w:rPr>
      </w:pPr>
      <w:bookmarkStart w:id="723" w:name="_Toc108082925"/>
      <w:bookmarkStart w:id="724" w:name="_Toc215132455"/>
      <w:r w:rsidRPr="00C04C4B">
        <w:rPr>
          <w:rFonts w:ascii="Garamond" w:eastAsia="Arial" w:hAnsi="Garamond"/>
          <w:color w:val="auto"/>
          <w:sz w:val="22"/>
          <w:szCs w:val="22"/>
        </w:rPr>
        <w:t>FORMACIÓN ACADÉMICA ADICIONAL</w:t>
      </w:r>
      <w:bookmarkEnd w:id="723"/>
      <w:bookmarkEnd w:id="724"/>
      <w:r w:rsidRPr="00C04C4B">
        <w:rPr>
          <w:rFonts w:ascii="Garamond" w:eastAsia="Arial" w:hAnsi="Garamond"/>
          <w:color w:val="auto"/>
          <w:sz w:val="22"/>
          <w:szCs w:val="22"/>
        </w:rPr>
        <w:t xml:space="preserve"> </w:t>
      </w:r>
    </w:p>
    <w:p w14:paraId="6B10701A" w14:textId="77777777" w:rsidR="00C04C4B" w:rsidRPr="00C04C4B" w:rsidRDefault="00C04C4B" w:rsidP="00C04C4B">
      <w:pPr>
        <w:jc w:val="both"/>
        <w:rPr>
          <w:rFonts w:ascii="Garamond" w:eastAsia="Arial" w:hAnsi="Garamond" w:cs="Arial"/>
        </w:rPr>
      </w:pPr>
      <w:r w:rsidRPr="00C04C4B">
        <w:rPr>
          <w:rFonts w:ascii="Garamond" w:eastAsia="Arial" w:hAnsi="Garamond" w:cs="Arial"/>
        </w:rPr>
        <w:t xml:space="preserve"> </w:t>
      </w:r>
    </w:p>
    <w:p w14:paraId="70A97BDF" w14:textId="4AF6672F" w:rsidR="00C04C4B" w:rsidRPr="00C04C4B" w:rsidRDefault="00C04C4B" w:rsidP="00C04C4B">
      <w:pPr>
        <w:jc w:val="both"/>
        <w:rPr>
          <w:rFonts w:ascii="Garamond" w:eastAsia="Arial" w:hAnsi="Garamond" w:cs="Arial"/>
        </w:rPr>
      </w:pPr>
      <w:r w:rsidRPr="001A5BB9">
        <w:rPr>
          <w:rFonts w:ascii="Garamond" w:eastAsia="Arial" w:hAnsi="Garamond" w:cs="Arial"/>
        </w:rPr>
        <w:t>La Entidad asignará cinco (5) puntos al Proponente que se comprometa con el diligenciamiento del “Formato 9 – Experiencia y formación académica adicional del Personal Clave Evaluable” [cada uno de los integrantes</w:t>
      </w:r>
      <w:r w:rsidRPr="001A5BB9">
        <w:rPr>
          <w:rFonts w:ascii="Garamond" w:eastAsia="Arial" w:hAnsi="Garamond" w:cs="Arial"/>
          <w:b/>
          <w:bCs/>
          <w:i/>
          <w:iCs/>
        </w:rPr>
        <w:t xml:space="preserve"> </w:t>
      </w:r>
      <w:r w:rsidRPr="001A5BB9">
        <w:rPr>
          <w:rFonts w:ascii="Garamond" w:eastAsia="Arial" w:hAnsi="Garamond" w:cs="Arial"/>
        </w:rPr>
        <w:t xml:space="preserve">que conforman el Personal Clave Evaluable: i) el Director de Interventoría </w:t>
      </w:r>
      <w:r w:rsidR="001A5BB9" w:rsidRPr="001A5BB9">
        <w:rPr>
          <w:rFonts w:ascii="Garamond" w:eastAsia="Arial" w:hAnsi="Garamond" w:cs="Arial"/>
        </w:rPr>
        <w:t>deberá</w:t>
      </w:r>
      <w:r w:rsidRPr="001A5BB9">
        <w:rPr>
          <w:rFonts w:ascii="Garamond" w:eastAsia="Arial" w:hAnsi="Garamond" w:cs="Arial"/>
        </w:rPr>
        <w:t xml:space="preserve"> acreditar que tienen una formación académica adicional a la definida en la “Matriz 4 – Lineamientos de requisitos del Personal” [Es decir, si el requisito mínimo de formación académica es contar con un título profesional, se otorgará el puntaje a quien se obligue a presentar un título de posgrado, o si el requisito mínimo de formación académica es contar con un título de posgrado, se otorgará el puntaje a quien acredite un título de posgrado adicional.]</w:t>
      </w:r>
    </w:p>
    <w:p w14:paraId="7620EE64" w14:textId="77777777" w:rsidR="00C04C4B" w:rsidRPr="00C04C4B" w:rsidRDefault="00C04C4B" w:rsidP="00C04C4B">
      <w:pPr>
        <w:jc w:val="both"/>
        <w:rPr>
          <w:rFonts w:ascii="Garamond" w:eastAsia="Arial" w:hAnsi="Garamond" w:cs="Arial"/>
          <w:highlight w:val="lightGray"/>
        </w:rPr>
      </w:pPr>
    </w:p>
    <w:p w14:paraId="6866766D" w14:textId="77777777" w:rsidR="00C04C4B" w:rsidRPr="00C04C4B" w:rsidRDefault="00C04C4B" w:rsidP="00C04C4B">
      <w:pPr>
        <w:jc w:val="both"/>
        <w:rPr>
          <w:rFonts w:ascii="Garamond" w:eastAsia="Arial" w:hAnsi="Garamond" w:cs="Arial"/>
        </w:rPr>
      </w:pPr>
      <w:r w:rsidRPr="00C04C4B">
        <w:rPr>
          <w:rFonts w:ascii="Garamond" w:eastAsia="Arial" w:hAnsi="Garamond" w:cs="Arial"/>
        </w:rPr>
        <w:t xml:space="preserve">Para otorgar el puntaje bastará con diligenciar el “Formato 9 - Experiencia y formación académica adicional del Personal Clave Evaluable”. Por tanto, </w:t>
      </w:r>
      <w:r w:rsidRPr="00C04C4B">
        <w:rPr>
          <w:rFonts w:ascii="Garamond" w:eastAsia="Arial" w:hAnsi="Garamond" w:cs="Arial"/>
          <w:u w:val="single"/>
        </w:rPr>
        <w:t>no se revisarán los soportes académicos del Personal Clave Evaluable durante la evaluación de las ofertas</w:t>
      </w:r>
      <w:r w:rsidRPr="00C04C4B">
        <w:rPr>
          <w:rFonts w:ascii="Garamond" w:eastAsia="Arial" w:hAnsi="Garamond" w:cs="Arial"/>
        </w:rPr>
        <w:t>. La verificación de los documentos relacionados con el Personal Clave Evaluable se hará de acuerdo con lo señalado en el numeral 9.1 “Información para el control de la ejecución” de este Pliego de Condiciones.</w:t>
      </w:r>
    </w:p>
    <w:p w14:paraId="3DDA166E" w14:textId="77777777" w:rsidR="00C04C4B" w:rsidRPr="00C04C4B" w:rsidRDefault="00C04C4B" w:rsidP="00C04C4B">
      <w:pPr>
        <w:jc w:val="both"/>
        <w:rPr>
          <w:rFonts w:ascii="Garamond" w:eastAsia="Arial" w:hAnsi="Garamond" w:cs="Arial"/>
        </w:rPr>
      </w:pPr>
      <w:r w:rsidRPr="00C04C4B">
        <w:rPr>
          <w:rFonts w:ascii="Garamond" w:eastAsia="Arial" w:hAnsi="Garamond" w:cs="Arial"/>
        </w:rPr>
        <w:t xml:space="preserve"> </w:t>
      </w:r>
    </w:p>
    <w:p w14:paraId="729B43D6" w14:textId="77777777" w:rsidR="00C04C4B" w:rsidRPr="00C04C4B" w:rsidRDefault="00C04C4B" w:rsidP="00A23238">
      <w:pPr>
        <w:pStyle w:val="Prrafodelista"/>
        <w:widowControl/>
        <w:numPr>
          <w:ilvl w:val="0"/>
          <w:numId w:val="47"/>
        </w:numPr>
        <w:spacing w:after="200"/>
        <w:contextualSpacing/>
        <w:rPr>
          <w:rFonts w:ascii="Garamond" w:eastAsia="Arial" w:hAnsi="Garamond" w:cs="Arial"/>
        </w:rPr>
      </w:pPr>
      <w:r w:rsidRPr="00C04C4B">
        <w:rPr>
          <w:rFonts w:ascii="Garamond" w:eastAsia="Arial" w:hAnsi="Garamond" w:cs="Arial"/>
        </w:rPr>
        <w:t xml:space="preserve">Las Entidades no podrán solicitar títulos de posgrado particulares, es decir, que el Personal Clave Evaluable tenga una especialización, una maestría o un doctorado, sino que se exigirá que el título de posgrado esté enfocado en un área de conocimiento para verificar las condiciones mínimas requeridas (p.ej. título de posgrado en estructuras o geotecnia). </w:t>
      </w:r>
    </w:p>
    <w:p w14:paraId="49866CB1" w14:textId="77777777" w:rsidR="00C04C4B" w:rsidRPr="00C04C4B" w:rsidRDefault="00C04C4B" w:rsidP="00C04C4B">
      <w:pPr>
        <w:pStyle w:val="Prrafodelista"/>
        <w:rPr>
          <w:rFonts w:ascii="Garamond" w:eastAsia="Arial" w:hAnsi="Garamond" w:cs="Arial"/>
        </w:rPr>
      </w:pPr>
    </w:p>
    <w:p w14:paraId="45049732" w14:textId="77777777" w:rsidR="00C04C4B" w:rsidRPr="00C04C4B" w:rsidRDefault="00C04C4B" w:rsidP="00A23238">
      <w:pPr>
        <w:pStyle w:val="Prrafodelista"/>
        <w:widowControl/>
        <w:numPr>
          <w:ilvl w:val="0"/>
          <w:numId w:val="47"/>
        </w:numPr>
        <w:spacing w:after="200"/>
        <w:contextualSpacing/>
        <w:rPr>
          <w:rFonts w:ascii="Garamond" w:eastAsia="Arial" w:hAnsi="Garamond" w:cs="Arial"/>
        </w:rPr>
      </w:pPr>
      <w:r w:rsidRPr="00C04C4B">
        <w:rPr>
          <w:rFonts w:ascii="Garamond" w:eastAsia="Arial" w:hAnsi="Garamond" w:cs="Arial"/>
        </w:rPr>
        <w:t xml:space="preserve">Las reglas de equivalencias descritas en la “Matriz 4 – Lineamientos de Requisitos del Personal” no aplican para el otorgamiento de puntaje, solamente para verificar que el profesional cumple con la formación académica mínima requerida por la Entidad. </w:t>
      </w:r>
    </w:p>
    <w:p w14:paraId="5C292B49" w14:textId="77777777" w:rsidR="00C04C4B" w:rsidRPr="00C04C4B" w:rsidRDefault="00C04C4B" w:rsidP="00C04C4B">
      <w:pPr>
        <w:pStyle w:val="Prrafodelista"/>
        <w:rPr>
          <w:rFonts w:ascii="Garamond" w:eastAsia="Arial" w:hAnsi="Garamond" w:cs="Arial"/>
        </w:rPr>
      </w:pPr>
    </w:p>
    <w:p w14:paraId="326E6C5B" w14:textId="77777777" w:rsidR="00C04C4B" w:rsidRPr="00C04C4B" w:rsidRDefault="00C04C4B" w:rsidP="00A23238">
      <w:pPr>
        <w:pStyle w:val="Prrafodelista"/>
        <w:widowControl/>
        <w:numPr>
          <w:ilvl w:val="0"/>
          <w:numId w:val="47"/>
        </w:numPr>
        <w:spacing w:after="200"/>
        <w:contextualSpacing/>
        <w:rPr>
          <w:rFonts w:ascii="Garamond" w:eastAsia="Arial" w:hAnsi="Garamond" w:cs="Arial"/>
        </w:rPr>
      </w:pPr>
      <w:r w:rsidRPr="00C04C4B">
        <w:rPr>
          <w:rFonts w:ascii="Garamond" w:eastAsia="Arial" w:hAnsi="Garamond" w:cs="Arial"/>
        </w:rPr>
        <w:lastRenderedPageBreak/>
        <w:t>Se entiende por “Formación académica adicional” aquella relacionada directamente con el cargo a desempeñar.</w:t>
      </w:r>
    </w:p>
    <w:p w14:paraId="513FBAEC" w14:textId="77777777" w:rsidR="00C04C4B" w:rsidRPr="00C04C4B" w:rsidRDefault="00C04C4B" w:rsidP="00C04C4B">
      <w:pPr>
        <w:jc w:val="both"/>
        <w:rPr>
          <w:rFonts w:ascii="Garamond" w:eastAsia="Arial" w:hAnsi="Garamond" w:cs="Arial"/>
        </w:rPr>
      </w:pPr>
      <w:r w:rsidRPr="00C04C4B">
        <w:rPr>
          <w:rFonts w:ascii="Garamond" w:eastAsia="Arial" w:hAnsi="Garamond" w:cs="Arial"/>
        </w:rPr>
        <w:t xml:space="preserve">En el caso que la Entidad establezca más de un profesional por cargo, cada uno de ellos deberá cumplir con la formación académica adicional. </w:t>
      </w:r>
      <w:r w:rsidRPr="00584A1F">
        <w:rPr>
          <w:rFonts w:ascii="Garamond" w:eastAsia="Arial" w:hAnsi="Garamond" w:cs="Arial"/>
        </w:rPr>
        <w:t>[Es decir, si la Entidad considera que el proyecto necesita dos (2) especialistas principales, para que el oferente sea acreedor de dicho puntaje debe cumplir con el requisito adicional en relación con los dos (2) especialistas principales.]</w:t>
      </w:r>
    </w:p>
    <w:p w14:paraId="3B7DFD91" w14:textId="58D04A3A" w:rsidR="00C04C4B" w:rsidRPr="00C04C4B" w:rsidRDefault="00C04C4B" w:rsidP="00C04C4B">
      <w:pPr>
        <w:jc w:val="both"/>
        <w:rPr>
          <w:rFonts w:ascii="Garamond" w:eastAsia="Arial" w:hAnsi="Garamond" w:cs="Arial"/>
        </w:rPr>
      </w:pPr>
    </w:p>
    <w:p w14:paraId="6B75836F" w14:textId="77777777" w:rsidR="00C04C4B" w:rsidRPr="00C04C4B" w:rsidRDefault="00C04C4B" w:rsidP="00C04C4B">
      <w:pPr>
        <w:jc w:val="both"/>
        <w:rPr>
          <w:rFonts w:ascii="Garamond" w:eastAsia="Arial" w:hAnsi="Garamond" w:cs="Arial"/>
          <w:lang w:eastAsia="es-ES"/>
        </w:rPr>
      </w:pPr>
    </w:p>
    <w:p w14:paraId="16401869" w14:textId="283D96D2" w:rsidR="00C04C4B" w:rsidRPr="00C04C4B" w:rsidRDefault="00C04C4B" w:rsidP="00A23238">
      <w:pPr>
        <w:pStyle w:val="Capitulo1"/>
        <w:numPr>
          <w:ilvl w:val="3"/>
          <w:numId w:val="54"/>
        </w:numPr>
        <w:tabs>
          <w:tab w:val="left" w:pos="851"/>
        </w:tabs>
        <w:spacing w:line="240" w:lineRule="auto"/>
        <w:jc w:val="both"/>
        <w:rPr>
          <w:rFonts w:ascii="Garamond" w:eastAsia="Arial" w:hAnsi="Garamond"/>
          <w:color w:val="auto"/>
          <w:sz w:val="22"/>
          <w:szCs w:val="22"/>
        </w:rPr>
      </w:pPr>
      <w:bookmarkStart w:id="725" w:name="_Toc108082926"/>
      <w:bookmarkStart w:id="726" w:name="_Toc215132456"/>
      <w:r w:rsidRPr="00C04C4B">
        <w:rPr>
          <w:rFonts w:ascii="Garamond" w:eastAsia="Arial" w:hAnsi="Garamond"/>
          <w:color w:val="auto"/>
          <w:sz w:val="22"/>
          <w:szCs w:val="22"/>
        </w:rPr>
        <w:t>CAMBIO DEL PERSONAL CLAVE EVALUABLE</w:t>
      </w:r>
      <w:bookmarkEnd w:id="725"/>
      <w:bookmarkEnd w:id="726"/>
    </w:p>
    <w:p w14:paraId="33F53AF4" w14:textId="77777777" w:rsidR="00C04C4B" w:rsidRPr="00C04C4B" w:rsidRDefault="00C04C4B" w:rsidP="00C04C4B">
      <w:pPr>
        <w:jc w:val="both"/>
        <w:rPr>
          <w:rFonts w:ascii="Garamond" w:eastAsia="Arial" w:hAnsi="Garamond" w:cs="Arial"/>
        </w:rPr>
      </w:pPr>
      <w:r w:rsidRPr="00C04C4B">
        <w:rPr>
          <w:rFonts w:ascii="Garamond" w:eastAsia="Arial" w:hAnsi="Garamond" w:cs="Arial"/>
        </w:rPr>
        <w:t xml:space="preserve"> </w:t>
      </w:r>
    </w:p>
    <w:p w14:paraId="61E36F11" w14:textId="665CF550" w:rsidR="00C04C4B" w:rsidRPr="00C04C4B" w:rsidRDefault="00C04C4B" w:rsidP="00C04C4B">
      <w:pPr>
        <w:jc w:val="both"/>
        <w:rPr>
          <w:rFonts w:ascii="Garamond" w:eastAsia="Arial" w:hAnsi="Garamond" w:cs="Arial"/>
          <w:lang w:val="es-MX"/>
        </w:rPr>
      </w:pPr>
      <w:r w:rsidRPr="00C04C4B">
        <w:rPr>
          <w:rFonts w:ascii="Garamond" w:eastAsia="Arial" w:hAnsi="Garamond" w:cs="Arial"/>
        </w:rPr>
        <w:t>El Personal Clave Evaluable ofrecido inicialmente será quien debe ejecutar el contrato. Excepcionalmente, en caso de requerir el cambio de personal, por razones que deben quedar sustentadas en el expediente del contrato, el Interventor</w:t>
      </w:r>
      <w:r w:rsidRPr="00C04C4B">
        <w:rPr>
          <w:rFonts w:ascii="Garamond" w:eastAsia="Arial" w:hAnsi="Garamond" w:cs="Arial"/>
          <w:lang w:val="es-MX"/>
        </w:rPr>
        <w:t xml:space="preserve"> presentará las hojas de vida del aspirante con sus respectivos soportes para evaluación y consideración de la Entidad en un plazo no mayor a </w:t>
      </w:r>
      <w:r w:rsidR="00584A1F">
        <w:rPr>
          <w:rFonts w:ascii="Garamond" w:eastAsia="Arial" w:hAnsi="Garamond" w:cs="Arial"/>
          <w:lang w:val="es-MX"/>
        </w:rPr>
        <w:t>10</w:t>
      </w:r>
      <w:r w:rsidRPr="00C04C4B">
        <w:rPr>
          <w:rFonts w:ascii="Garamond" w:eastAsia="Arial" w:hAnsi="Garamond" w:cs="Arial"/>
          <w:lang w:val="es-MX"/>
        </w:rPr>
        <w:t xml:space="preserve"> días hábiles contados a partir de que el Contratista solicite el cambio del personal. </w:t>
      </w:r>
    </w:p>
    <w:p w14:paraId="6D28C381" w14:textId="77777777" w:rsidR="00C04C4B" w:rsidRPr="00C04C4B" w:rsidRDefault="00C04C4B" w:rsidP="00C04C4B">
      <w:pPr>
        <w:jc w:val="both"/>
        <w:rPr>
          <w:rFonts w:ascii="Garamond" w:eastAsia="Arial" w:hAnsi="Garamond" w:cs="Arial"/>
          <w:lang w:val="es-MX"/>
        </w:rPr>
      </w:pPr>
    </w:p>
    <w:p w14:paraId="4FE10E05" w14:textId="77777777" w:rsidR="00C04C4B" w:rsidRPr="00C04C4B" w:rsidRDefault="00C04C4B" w:rsidP="00C04C4B">
      <w:pPr>
        <w:jc w:val="both"/>
        <w:rPr>
          <w:rFonts w:ascii="Garamond" w:eastAsia="Arial" w:hAnsi="Garamond" w:cs="Arial"/>
          <w:lang w:val="es-MX"/>
        </w:rPr>
      </w:pPr>
      <w:r w:rsidRPr="00C04C4B">
        <w:rPr>
          <w:rFonts w:ascii="Garamond" w:eastAsia="Arial" w:hAnsi="Garamond" w:cs="Arial"/>
          <w:lang w:val="es-MX"/>
        </w:rPr>
        <w:t xml:space="preserve">La persona que reemplazará al profesional del Personal Clave Evaluable debe cumplir con los requisitos mínimos descritos en la “Matriz 4- Lineamientos de requisitos del personal”, tener el año de experiencia específica adicional y el título de formación académica adicional, si se trata de un profesional por el cual se asignó puntaje. En todo caso, la Entidad se reserva el derecho de aceptarlos o no, sin perjuicio de que, en el evento de rechazarlo, deba motivar las razones objetivas y suficientes relacionadas directamente con alguna o algunas de las condiciones exigidas. </w:t>
      </w:r>
    </w:p>
    <w:p w14:paraId="07E3ADDC" w14:textId="77777777" w:rsidR="00C04C4B" w:rsidRPr="00C04C4B" w:rsidRDefault="00C04C4B" w:rsidP="00C04C4B">
      <w:pPr>
        <w:jc w:val="both"/>
        <w:rPr>
          <w:rFonts w:ascii="Garamond" w:hAnsi="Garamond"/>
          <w:lang w:eastAsia="es-ES"/>
        </w:rPr>
      </w:pPr>
    </w:p>
    <w:p w14:paraId="16CF1E00" w14:textId="32DC9F72" w:rsidR="00C04C4B" w:rsidRPr="001462BA" w:rsidRDefault="00C04C4B" w:rsidP="00A23238">
      <w:pPr>
        <w:pStyle w:val="Capitulo1"/>
        <w:numPr>
          <w:ilvl w:val="3"/>
          <w:numId w:val="54"/>
        </w:numPr>
        <w:tabs>
          <w:tab w:val="left" w:pos="851"/>
        </w:tabs>
        <w:spacing w:line="240" w:lineRule="auto"/>
        <w:jc w:val="both"/>
        <w:rPr>
          <w:rFonts w:ascii="Garamond" w:eastAsia="Arial" w:hAnsi="Garamond"/>
          <w:color w:val="auto"/>
          <w:sz w:val="22"/>
          <w:szCs w:val="22"/>
        </w:rPr>
      </w:pPr>
      <w:bookmarkStart w:id="727" w:name="_Toc108082927"/>
      <w:bookmarkStart w:id="728" w:name="_Toc215132457"/>
      <w:r w:rsidRPr="00C04C4B">
        <w:rPr>
          <w:rFonts w:ascii="Garamond" w:eastAsia="Arial" w:hAnsi="Garamond"/>
          <w:color w:val="auto"/>
          <w:sz w:val="22"/>
          <w:szCs w:val="22"/>
        </w:rPr>
        <w:t>FACTOR DE SOSTENIBILIDAD</w:t>
      </w:r>
      <w:bookmarkEnd w:id="727"/>
      <w:bookmarkEnd w:id="728"/>
      <w:r w:rsidRPr="00C04C4B">
        <w:rPr>
          <w:rFonts w:ascii="Garamond" w:eastAsia="Arial" w:hAnsi="Garamond"/>
          <w:color w:val="auto"/>
          <w:sz w:val="22"/>
          <w:szCs w:val="22"/>
        </w:rPr>
        <w:t xml:space="preserve"> </w:t>
      </w:r>
    </w:p>
    <w:p w14:paraId="22BEADC9" w14:textId="77777777" w:rsidR="00C04C4B" w:rsidRPr="00C04C4B" w:rsidRDefault="00C04C4B" w:rsidP="00C04C4B">
      <w:pPr>
        <w:jc w:val="both"/>
        <w:rPr>
          <w:rFonts w:ascii="Garamond" w:eastAsia="Arial" w:hAnsi="Garamond" w:cs="Arial"/>
        </w:rPr>
      </w:pPr>
      <w:r w:rsidRPr="00C04C4B">
        <w:rPr>
          <w:rFonts w:ascii="Garamond" w:eastAsia="Arial" w:hAnsi="Garamond" w:cs="Arial"/>
        </w:rPr>
        <w:t>La Entidad asignará un (1) punto al Proponente que se comprometa con el diligenciamiento del “Formato 12 – Factor de sostenibilidad”, y se comprometa con los siguientes aspectos:</w:t>
      </w:r>
    </w:p>
    <w:p w14:paraId="081DABF3" w14:textId="77777777" w:rsidR="00C04C4B" w:rsidRPr="00C04C4B" w:rsidRDefault="00C04C4B" w:rsidP="00C04C4B">
      <w:pPr>
        <w:jc w:val="both"/>
        <w:rPr>
          <w:rFonts w:ascii="Garamond" w:eastAsia="Arial" w:hAnsi="Garamond" w:cs="Arial"/>
        </w:rPr>
      </w:pPr>
    </w:p>
    <w:p w14:paraId="755A3808" w14:textId="77777777" w:rsidR="00C04C4B" w:rsidRPr="00C04C4B" w:rsidRDefault="00C04C4B" w:rsidP="00A23238">
      <w:pPr>
        <w:pStyle w:val="Prrafodelista"/>
        <w:widowControl/>
        <w:numPr>
          <w:ilvl w:val="0"/>
          <w:numId w:val="53"/>
        </w:numPr>
        <w:spacing w:after="200" w:line="276" w:lineRule="auto"/>
        <w:contextualSpacing/>
        <w:rPr>
          <w:rFonts w:ascii="Garamond" w:eastAsia="Arial" w:hAnsi="Garamond" w:cs="Arial"/>
        </w:rPr>
      </w:pPr>
      <w:r w:rsidRPr="00C04C4B">
        <w:rPr>
          <w:rFonts w:ascii="Garamond" w:eastAsia="Arial" w:hAnsi="Garamond" w:cs="Arial"/>
        </w:rPr>
        <w:t>Presentar sus entregables (comunicaciones, informes, memorias de cálculo, diseños por componentes, entre otros), siempre que aplique, en impresión a doble cara, así mismo utilizando papel que cuente con (i) el certificado del Sello Ambiental Colombiano y/o cualquier otra etiqueta ambiental o (</w:t>
      </w:r>
      <w:proofErr w:type="spellStart"/>
      <w:r w:rsidRPr="00C04C4B">
        <w:rPr>
          <w:rFonts w:ascii="Garamond" w:eastAsia="Arial" w:hAnsi="Garamond" w:cs="Arial"/>
        </w:rPr>
        <w:t>ii</w:t>
      </w:r>
      <w:proofErr w:type="spellEnd"/>
      <w:r w:rsidRPr="00C04C4B">
        <w:rPr>
          <w:rFonts w:ascii="Garamond" w:eastAsia="Arial" w:hAnsi="Garamond" w:cs="Arial"/>
        </w:rPr>
        <w:t>) sea papel con contenido reciclado o procedente de fuentes forestales sostenibles o naturales y estar libre de cloro elemental.</w:t>
      </w:r>
    </w:p>
    <w:p w14:paraId="212471EF" w14:textId="77777777" w:rsidR="00C04C4B" w:rsidRPr="00C04C4B" w:rsidRDefault="00C04C4B" w:rsidP="00C04C4B">
      <w:pPr>
        <w:pStyle w:val="Prrafodelista"/>
        <w:ind w:left="1440"/>
        <w:rPr>
          <w:rFonts w:ascii="Garamond" w:eastAsia="Arial" w:hAnsi="Garamond" w:cs="Arial"/>
        </w:rPr>
      </w:pPr>
    </w:p>
    <w:p w14:paraId="0E33AE60" w14:textId="77777777" w:rsidR="00C04C4B" w:rsidRPr="00C04C4B" w:rsidRDefault="00C04C4B" w:rsidP="00C04C4B">
      <w:pPr>
        <w:pStyle w:val="Prrafodelista"/>
        <w:ind w:left="1440"/>
        <w:rPr>
          <w:rFonts w:ascii="Garamond" w:eastAsia="Arial" w:hAnsi="Garamond" w:cs="Arial"/>
        </w:rPr>
      </w:pPr>
      <w:r w:rsidRPr="00C04C4B">
        <w:rPr>
          <w:rFonts w:ascii="Garamond" w:eastAsia="Arial" w:hAnsi="Garamond" w:cs="Arial"/>
        </w:rPr>
        <w:t>Cuando el documento lo permita, se reutilizarán hojas ya usadas por una cara, por ejemplo, para evidencias de trabajo de campo, y en el evento en que sus entregables no se requieran en medio físico, garantizar que los documentos sean digitalizados y establecer una política de archivo digital.</w:t>
      </w:r>
    </w:p>
    <w:p w14:paraId="6FB55677" w14:textId="77777777" w:rsidR="00C04C4B" w:rsidRPr="00C04C4B" w:rsidRDefault="00C04C4B" w:rsidP="00C04C4B">
      <w:pPr>
        <w:pStyle w:val="Prrafodelista"/>
        <w:ind w:left="1418"/>
        <w:rPr>
          <w:rFonts w:ascii="Garamond" w:hAnsi="Garamond" w:cs="Arial"/>
        </w:rPr>
      </w:pPr>
    </w:p>
    <w:p w14:paraId="1AC2F8E9" w14:textId="77777777" w:rsidR="00C04C4B" w:rsidRPr="00C04C4B" w:rsidRDefault="00C04C4B" w:rsidP="00C04C4B">
      <w:pPr>
        <w:pStyle w:val="Prrafodelista"/>
        <w:ind w:left="1440"/>
        <w:rPr>
          <w:rFonts w:ascii="Garamond" w:hAnsi="Garamond" w:cs="Arial"/>
          <w:lang w:val="es-MX"/>
        </w:rPr>
      </w:pPr>
      <w:bookmarkStart w:id="729" w:name="_Int_4u97LNva"/>
      <w:r w:rsidRPr="00C04C4B">
        <w:rPr>
          <w:rFonts w:ascii="Garamond" w:hAnsi="Garamond" w:cs="Arial"/>
        </w:rPr>
        <w:t>En caso que</w:t>
      </w:r>
      <w:bookmarkEnd w:id="729"/>
      <w:r w:rsidRPr="00C04C4B">
        <w:rPr>
          <w:rFonts w:ascii="Garamond" w:hAnsi="Garamond" w:cs="Arial"/>
        </w:rPr>
        <w:t xml:space="preserve"> los documentos no permitan la reutilización de papel, estos documentos deben garantizar que se realizó el uso de papel 100% ecológico, o fabricado con madera proveniente de plantaciones forestales sostenibles y 100% libre de coloro elemental o que cuente con una etiqueta ambiental, como el Sello Ambiental Colombiano. </w:t>
      </w:r>
    </w:p>
    <w:p w14:paraId="44D3C8DA" w14:textId="77777777" w:rsidR="00C04C4B" w:rsidRPr="00C04C4B" w:rsidRDefault="00C04C4B" w:rsidP="00C04C4B">
      <w:pPr>
        <w:pStyle w:val="Prrafodelista"/>
        <w:ind w:left="1440"/>
        <w:rPr>
          <w:rFonts w:ascii="Garamond" w:hAnsi="Garamond" w:cs="Arial"/>
        </w:rPr>
      </w:pPr>
    </w:p>
    <w:p w14:paraId="0BCD349B" w14:textId="77777777" w:rsidR="00C04C4B" w:rsidRPr="00C04C4B" w:rsidRDefault="00C04C4B" w:rsidP="00C04C4B">
      <w:pPr>
        <w:pStyle w:val="Prrafodelista"/>
        <w:ind w:left="1440"/>
        <w:rPr>
          <w:rFonts w:ascii="Garamond" w:hAnsi="Garamond" w:cs="Arial"/>
          <w:lang w:val="es-MX"/>
        </w:rPr>
      </w:pPr>
      <w:r w:rsidRPr="00C04C4B">
        <w:rPr>
          <w:rFonts w:ascii="Garamond" w:hAnsi="Garamond" w:cs="Arial"/>
          <w:lang w:val="es-ES"/>
        </w:rPr>
        <w:t>Durante la ejecución del contrato, el futuro contratista adjuntará la ficha técnica del papel a utilizar.</w:t>
      </w:r>
    </w:p>
    <w:p w14:paraId="5A67D6E1" w14:textId="77777777" w:rsidR="00C04C4B" w:rsidRPr="00C04C4B" w:rsidRDefault="00C04C4B" w:rsidP="00C04C4B">
      <w:pPr>
        <w:pStyle w:val="Prrafodelista"/>
        <w:ind w:left="1440"/>
        <w:rPr>
          <w:rFonts w:ascii="Garamond" w:hAnsi="Garamond" w:cs="Arial"/>
          <w:lang w:val="es-MX"/>
        </w:rPr>
      </w:pPr>
    </w:p>
    <w:p w14:paraId="5CAB54E5" w14:textId="77777777" w:rsidR="00C04C4B" w:rsidRPr="00C04C4B" w:rsidRDefault="00C04C4B" w:rsidP="00A23238">
      <w:pPr>
        <w:pStyle w:val="Prrafodelista"/>
        <w:widowControl/>
        <w:numPr>
          <w:ilvl w:val="0"/>
          <w:numId w:val="53"/>
        </w:numPr>
        <w:spacing w:line="276" w:lineRule="auto"/>
        <w:contextualSpacing/>
        <w:rPr>
          <w:rFonts w:ascii="Garamond" w:hAnsi="Garamond" w:cs="Arial"/>
          <w:lang w:val="es-MX"/>
        </w:rPr>
      </w:pPr>
      <w:r w:rsidRPr="00C04C4B">
        <w:rPr>
          <w:rFonts w:ascii="Garamond" w:hAnsi="Garamond" w:cs="Arial"/>
          <w:lang w:val="es-MX"/>
        </w:rPr>
        <w:t>Contar con un programa de reciclaje y gestión integral de residuos (ordinarios, aprovechables, orgánicos, residuos de aparatos eléctricos y electrónicos-</w:t>
      </w:r>
      <w:proofErr w:type="spellStart"/>
      <w:r w:rsidRPr="00C04C4B">
        <w:rPr>
          <w:rFonts w:ascii="Garamond" w:hAnsi="Garamond" w:cs="Arial"/>
          <w:lang w:val="es-MX"/>
        </w:rPr>
        <w:t>RAEES</w:t>
      </w:r>
      <w:proofErr w:type="spellEnd"/>
      <w:r w:rsidRPr="00C04C4B">
        <w:rPr>
          <w:rFonts w:ascii="Garamond" w:hAnsi="Garamond" w:cs="Arial"/>
          <w:lang w:val="es-MX"/>
        </w:rPr>
        <w:t xml:space="preserve">), donde se establezcan de manera evidenciable a través de metas e indicadores, las medidas implementadas de reciclaje y/o reutilización de residuos y su adecuada gestión. Durante la ejecución del proyecto tendrá que presentar el documento del “Programa de reciclaje y gestión integral de residuos” y sus informes periódicos de resultados del programa con el seguimiento de las metas e indicadores, así mismo, evidencias documentales como registros fotográficos, certificaciones, convenios con gestores, entre otros. </w:t>
      </w:r>
    </w:p>
    <w:p w14:paraId="33E4C942" w14:textId="77777777" w:rsidR="00C04C4B" w:rsidRPr="00C04C4B" w:rsidRDefault="00C04C4B" w:rsidP="00C04C4B">
      <w:pPr>
        <w:pStyle w:val="Prrafodelista"/>
        <w:ind w:left="1440"/>
        <w:rPr>
          <w:rFonts w:ascii="Garamond" w:hAnsi="Garamond" w:cs="Arial"/>
          <w:lang w:val="es-MX"/>
        </w:rPr>
      </w:pPr>
    </w:p>
    <w:p w14:paraId="6B09AA50" w14:textId="77777777" w:rsidR="00C04C4B" w:rsidRPr="00C04C4B" w:rsidRDefault="00C04C4B" w:rsidP="00A23238">
      <w:pPr>
        <w:pStyle w:val="Prrafodelista"/>
        <w:widowControl/>
        <w:numPr>
          <w:ilvl w:val="0"/>
          <w:numId w:val="53"/>
        </w:numPr>
        <w:spacing w:line="276" w:lineRule="auto"/>
        <w:contextualSpacing/>
        <w:rPr>
          <w:rFonts w:ascii="Garamond" w:hAnsi="Garamond" w:cs="Arial"/>
          <w:lang w:val="es-MX"/>
        </w:rPr>
      </w:pPr>
      <w:r w:rsidRPr="00C04C4B">
        <w:rPr>
          <w:rFonts w:ascii="Garamond" w:hAnsi="Garamond" w:cs="Arial"/>
          <w:lang w:val="es-MX"/>
        </w:rPr>
        <w:t xml:space="preserve">Capacitar al personal (puede ser el equipo interno de la interventoría o al personal del contratista), en temas de sostenibilidad en el ejercicio de la labor de interventoría, por ejemplo, gestión de residuos, reciclaje y aprovechamiento de residuos, ahorro de agua, ahorro de energía, estilos de vida sostenibles, consumo responsable, transporte sostenible, entre otros. Así mismo, se debe capacitar al personal sobre temas ambientales relacionados con los proyectos sujetos a interventoría, por ejemplo, gestión de residuos de construcción y demolición, uso y manejo adecuado del suelo, conflictos socio ambientales y medidas de manejo, reglamentación ambiental, atención de emergencias ambientales, gestión de residuos peligrosos, manejo de sustancias químicas, entre otros. Durante la ejecución del proyecto tendrá que presentar soporte de las capacitaciones, que incluya evaluación de conocimiento y registro fotográfico.  </w:t>
      </w:r>
    </w:p>
    <w:p w14:paraId="6CD7A7E3" w14:textId="77777777" w:rsidR="00C04C4B" w:rsidRPr="00C04C4B" w:rsidRDefault="00C04C4B" w:rsidP="00C04C4B">
      <w:pPr>
        <w:pStyle w:val="Prrafodelista"/>
        <w:ind w:left="1440"/>
        <w:rPr>
          <w:rFonts w:ascii="Garamond" w:hAnsi="Garamond" w:cs="Arial"/>
          <w:lang w:val="es-MX"/>
        </w:rPr>
      </w:pPr>
    </w:p>
    <w:p w14:paraId="28508DCD" w14:textId="77777777" w:rsidR="00C04C4B" w:rsidRPr="00C04C4B" w:rsidRDefault="00C04C4B" w:rsidP="00A23238">
      <w:pPr>
        <w:widowControl/>
        <w:numPr>
          <w:ilvl w:val="0"/>
          <w:numId w:val="53"/>
        </w:numPr>
        <w:spacing w:line="276" w:lineRule="auto"/>
        <w:jc w:val="both"/>
        <w:rPr>
          <w:rFonts w:ascii="Garamond" w:eastAsia="Verdana" w:hAnsi="Garamond" w:cs="Arial"/>
          <w:lang w:val="es-MX"/>
        </w:rPr>
      </w:pPr>
      <w:r w:rsidRPr="00C04C4B">
        <w:rPr>
          <w:rFonts w:ascii="Garamond" w:hAnsi="Garamond" w:cs="Arial"/>
          <w:lang w:val="es-MX"/>
        </w:rPr>
        <w:t xml:space="preserve">Contar con un programa de transporte sostenible, donde se establezcan de manera evidenciable, a través de metas e indicadores, medidas que contengan entre otros, algunos aspectos relacionados con diversificación de modos de transporte como por ejemplo: combinación con el sistema público, vehículos compartidos, sistemas de movilidad activa puede ser uso de </w:t>
      </w:r>
      <w:r w:rsidRPr="00C04C4B">
        <w:rPr>
          <w:rFonts w:ascii="Garamond" w:eastAsia="Verdana" w:hAnsi="Garamond" w:cs="Arial"/>
          <w:lang w:val="es-MX"/>
        </w:rPr>
        <w:t xml:space="preserve">bicicletas, patinetas o incluso caminar, de ser posible uso de </w:t>
      </w:r>
      <w:r w:rsidRPr="00C04C4B">
        <w:rPr>
          <w:rFonts w:ascii="Garamond" w:eastAsia="Verdana" w:hAnsi="Garamond" w:cs="Verdana"/>
          <w:lang w:val="es-MX"/>
        </w:rPr>
        <w:t xml:space="preserve">tecnologías limpias y vehículos de bajas emisiones o uso compartido de vehículos y promover opciones de transporte seguro y aspectos de conducción eficiente, entre otros. </w:t>
      </w:r>
    </w:p>
    <w:p w14:paraId="355CBF53" w14:textId="77777777" w:rsidR="00C04C4B" w:rsidRPr="00C04C4B" w:rsidRDefault="00C04C4B" w:rsidP="00C04C4B">
      <w:pPr>
        <w:pStyle w:val="Prrafodelista"/>
        <w:ind w:left="1440"/>
        <w:rPr>
          <w:rFonts w:ascii="Garamond" w:hAnsi="Garamond" w:cs="Arial"/>
        </w:rPr>
      </w:pPr>
      <w:r w:rsidRPr="00C04C4B" w:rsidDel="35C08C48">
        <w:rPr>
          <w:rFonts w:ascii="Garamond" w:eastAsia="Verdana" w:hAnsi="Garamond" w:cs="Verdana"/>
        </w:rPr>
        <w:t xml:space="preserve"> </w:t>
      </w:r>
    </w:p>
    <w:p w14:paraId="4224A26D" w14:textId="77777777" w:rsidR="00C04C4B" w:rsidRPr="00C04C4B" w:rsidRDefault="00C04C4B" w:rsidP="00C04C4B">
      <w:pPr>
        <w:pStyle w:val="Prrafodelista"/>
        <w:ind w:left="1440"/>
        <w:rPr>
          <w:rFonts w:ascii="Garamond" w:eastAsia="Verdana" w:hAnsi="Garamond" w:cs="Verdana"/>
        </w:rPr>
      </w:pPr>
      <w:r w:rsidRPr="00C04C4B">
        <w:rPr>
          <w:rFonts w:ascii="Garamond" w:eastAsia="Verdana" w:hAnsi="Garamond" w:cs="Verdana"/>
        </w:rPr>
        <w:t xml:space="preserve">Durante la ejecución del proyecto tendrá que adjuntar el documento “Programa de transporte </w:t>
      </w:r>
      <w:r w:rsidRPr="00C04C4B">
        <w:rPr>
          <w:rFonts w:ascii="Garamond" w:eastAsia="Verdana" w:hAnsi="Garamond" w:cs="Verdana"/>
        </w:rPr>
        <w:lastRenderedPageBreak/>
        <w:t>sostenible” e informes periódicos con los resultados del programa que contenga el seguimiento de las acciones, las metas e indicadores. El contratista adjudicatario podrá acreditar este requisito con uno o con varios de los factores que se enuncian a modo de ejemplo u otros que cumplan con la misma finalidad.</w:t>
      </w:r>
    </w:p>
    <w:p w14:paraId="1278102F" w14:textId="77777777" w:rsidR="00C04C4B" w:rsidRPr="00C04C4B" w:rsidRDefault="00C04C4B" w:rsidP="00C04C4B">
      <w:pPr>
        <w:pStyle w:val="Prrafodelista"/>
        <w:ind w:left="1440"/>
        <w:rPr>
          <w:rFonts w:ascii="Garamond" w:hAnsi="Garamond" w:cs="Arial"/>
          <w:lang w:val="es-MX"/>
        </w:rPr>
      </w:pPr>
      <w:r w:rsidRPr="00C04C4B">
        <w:rPr>
          <w:rFonts w:ascii="Garamond" w:hAnsi="Garamond" w:cs="Arial"/>
          <w:lang w:val="es-MX"/>
        </w:rPr>
        <w:t xml:space="preserve"> </w:t>
      </w:r>
    </w:p>
    <w:p w14:paraId="231193B9" w14:textId="77777777" w:rsidR="00C04C4B" w:rsidRPr="00C04C4B" w:rsidRDefault="00C04C4B" w:rsidP="00A23238">
      <w:pPr>
        <w:pStyle w:val="Prrafodelista"/>
        <w:widowControl/>
        <w:numPr>
          <w:ilvl w:val="0"/>
          <w:numId w:val="53"/>
        </w:numPr>
        <w:spacing w:line="276" w:lineRule="auto"/>
        <w:contextualSpacing/>
        <w:rPr>
          <w:rFonts w:ascii="Garamond" w:hAnsi="Garamond" w:cs="Arial"/>
          <w:lang w:val="es-MX"/>
        </w:rPr>
      </w:pPr>
      <w:r w:rsidRPr="00C04C4B">
        <w:rPr>
          <w:rFonts w:ascii="Garamond" w:hAnsi="Garamond" w:cs="Arial"/>
          <w:lang w:val="es-MX"/>
        </w:rPr>
        <w:t>Asegurar que los equipos tecnológicos a utilizar, por ejemplo, computadores, impresoras, tabletas, entre otros, cumplan con norma técnica de bajo consumo energético. Durante la ejecución del proyecto tendrá que entregar la ficha técnica de los equipos en donde se evidencie el cumplimiento de la norma técnica de bajo consumo energético.</w:t>
      </w:r>
    </w:p>
    <w:p w14:paraId="745CDFF8" w14:textId="77777777" w:rsidR="00C04C4B" w:rsidRPr="00C04C4B" w:rsidRDefault="00C04C4B" w:rsidP="00C04C4B">
      <w:pPr>
        <w:pStyle w:val="Prrafodelista"/>
        <w:ind w:left="1440"/>
        <w:rPr>
          <w:rFonts w:ascii="Garamond" w:hAnsi="Garamond" w:cs="Arial"/>
          <w:lang w:val="es-MX"/>
        </w:rPr>
      </w:pPr>
    </w:p>
    <w:p w14:paraId="2A091D0A" w14:textId="77777777" w:rsidR="00C04C4B" w:rsidRPr="00C04C4B" w:rsidRDefault="00C04C4B" w:rsidP="00A23238">
      <w:pPr>
        <w:widowControl/>
        <w:numPr>
          <w:ilvl w:val="0"/>
          <w:numId w:val="53"/>
        </w:numPr>
        <w:spacing w:line="276" w:lineRule="auto"/>
        <w:jc w:val="both"/>
        <w:rPr>
          <w:rFonts w:ascii="Garamond" w:hAnsi="Garamond" w:cs="Arial"/>
          <w:lang w:val="es-MX"/>
        </w:rPr>
      </w:pPr>
      <w:r w:rsidRPr="00C04C4B">
        <w:rPr>
          <w:rFonts w:ascii="Garamond" w:hAnsi="Garamond" w:cs="Arial"/>
          <w:lang w:val="es-MX"/>
        </w:rPr>
        <w:t>Asegurar la gestión adecuada de los residuos (ordinarios, aprovechables, residuos de aparatos eléctricos y electrónicos-</w:t>
      </w:r>
      <w:proofErr w:type="spellStart"/>
      <w:r w:rsidRPr="00C04C4B">
        <w:rPr>
          <w:rFonts w:ascii="Garamond" w:hAnsi="Garamond" w:cs="Arial"/>
          <w:lang w:val="es-MX"/>
        </w:rPr>
        <w:t>RAEES</w:t>
      </w:r>
      <w:proofErr w:type="spellEnd"/>
      <w:r w:rsidRPr="00C04C4B">
        <w:rPr>
          <w:rFonts w:ascii="Garamond" w:hAnsi="Garamond" w:cs="Arial"/>
          <w:lang w:val="es-MX"/>
        </w:rPr>
        <w:t>) generados durante la prestación del servicio de consultoría en el marco de la normatividad vigente y aplicable, así como toda aquella que la modifique o la sustituya. Durante la ejecución del proyecto tendrá que entregar actas o documentos que evidencien la gestión de residuos efectuada durante la ejecución del contrato.</w:t>
      </w:r>
    </w:p>
    <w:p w14:paraId="3AABCA7F" w14:textId="77777777" w:rsidR="00C04C4B" w:rsidRPr="00C04C4B" w:rsidRDefault="00C04C4B" w:rsidP="00C04C4B">
      <w:pPr>
        <w:spacing w:line="276" w:lineRule="auto"/>
        <w:jc w:val="both"/>
        <w:rPr>
          <w:rFonts w:ascii="Garamond" w:hAnsi="Garamond" w:cs="Arial"/>
          <w:lang w:val="es-MX"/>
        </w:rPr>
      </w:pPr>
      <w:r w:rsidRPr="00C04C4B">
        <w:rPr>
          <w:rFonts w:ascii="Garamond" w:hAnsi="Garamond" w:cs="Arial"/>
          <w:lang w:val="es-MX"/>
        </w:rPr>
        <w:t xml:space="preserve">  </w:t>
      </w:r>
    </w:p>
    <w:p w14:paraId="6B843703" w14:textId="77777777" w:rsidR="00C04C4B" w:rsidRPr="00C04C4B" w:rsidRDefault="00C04C4B" w:rsidP="00C04C4B">
      <w:pPr>
        <w:ind w:left="1440"/>
        <w:jc w:val="both"/>
        <w:rPr>
          <w:rFonts w:ascii="Garamond" w:eastAsia="Arial" w:hAnsi="Garamond" w:cs="Arial"/>
          <w:color w:val="000000" w:themeColor="text1"/>
          <w:lang w:val="es-MX"/>
        </w:rPr>
      </w:pPr>
      <w:r w:rsidRPr="00C04C4B">
        <w:rPr>
          <w:rFonts w:ascii="Garamond" w:eastAsia="Arial" w:hAnsi="Garamond" w:cs="Arial"/>
          <w:b/>
          <w:bCs/>
          <w:color w:val="000000" w:themeColor="text1"/>
          <w:lang w:val="es-MX"/>
        </w:rPr>
        <w:t>Nota:</w:t>
      </w:r>
      <w:r w:rsidRPr="00C04C4B">
        <w:rPr>
          <w:rFonts w:ascii="Garamond" w:eastAsia="Arial" w:hAnsi="Garamond" w:cs="Arial"/>
          <w:color w:val="000000" w:themeColor="text1"/>
          <w:lang w:val="es-MX"/>
        </w:rPr>
        <w:t xml:space="preserve"> Estos documentos deberán contener como mínimo: Fecha de expedición; nombre del gestor, </w:t>
      </w:r>
      <w:proofErr w:type="spellStart"/>
      <w:r w:rsidRPr="00C04C4B">
        <w:rPr>
          <w:rFonts w:ascii="Garamond" w:eastAsia="Arial" w:hAnsi="Garamond" w:cs="Arial"/>
          <w:color w:val="000000" w:themeColor="text1"/>
          <w:lang w:val="es-MX"/>
        </w:rPr>
        <w:t>NIT</w:t>
      </w:r>
      <w:proofErr w:type="spellEnd"/>
      <w:r w:rsidRPr="00C04C4B">
        <w:rPr>
          <w:rFonts w:ascii="Garamond" w:eastAsia="Arial" w:hAnsi="Garamond" w:cs="Arial"/>
          <w:color w:val="000000" w:themeColor="text1"/>
          <w:lang w:val="es-MX"/>
        </w:rPr>
        <w:t xml:space="preserve"> del gestor, número de la licencia ambiental o resolución por medio de la cual se autoriza el desarrollo de la actividad a la (s) empresa (s) gestora (s) responsable de manejo del residuo (para el caso de la gestión de </w:t>
      </w:r>
      <w:proofErr w:type="spellStart"/>
      <w:r w:rsidRPr="00C04C4B">
        <w:rPr>
          <w:rFonts w:ascii="Garamond" w:eastAsia="Arial" w:hAnsi="Garamond" w:cs="Arial"/>
          <w:color w:val="000000" w:themeColor="text1"/>
          <w:lang w:val="es-MX"/>
        </w:rPr>
        <w:t>RAEES</w:t>
      </w:r>
      <w:proofErr w:type="spellEnd"/>
      <w:r w:rsidRPr="00C04C4B">
        <w:rPr>
          <w:rFonts w:ascii="Garamond" w:eastAsia="Arial" w:hAnsi="Garamond" w:cs="Arial"/>
          <w:color w:val="000000" w:themeColor="text1"/>
          <w:lang w:val="es-MX"/>
        </w:rPr>
        <w:t>), descripción del residuo (tipo, cantidad), gestión realizada con el residuo (almacenamiento, transporte o movilización, tratamiento, aprovechamiento y/o disposición final).</w:t>
      </w:r>
    </w:p>
    <w:bookmarkEnd w:id="715"/>
    <w:p w14:paraId="4A3F55DE" w14:textId="77777777" w:rsidR="00C04C4B" w:rsidRPr="00C04C4B" w:rsidRDefault="00C04C4B" w:rsidP="00C04C4B">
      <w:pPr>
        <w:ind w:left="1440"/>
        <w:jc w:val="both"/>
        <w:rPr>
          <w:rFonts w:ascii="Garamond" w:eastAsia="Arial" w:hAnsi="Garamond" w:cs="Arial"/>
          <w:color w:val="000000" w:themeColor="text1"/>
          <w:lang w:val="es-MX"/>
        </w:rPr>
      </w:pPr>
    </w:p>
    <w:p w14:paraId="7ACDEF26" w14:textId="77777777" w:rsidR="00C04C4B" w:rsidRPr="00C04C4B" w:rsidRDefault="00C04C4B" w:rsidP="00C04C4B">
      <w:pPr>
        <w:shd w:val="clear" w:color="auto" w:fill="FFFFFF" w:themeFill="background1"/>
        <w:jc w:val="both"/>
        <w:rPr>
          <w:rFonts w:ascii="Garamond" w:hAnsi="Garamond" w:cs="Arial"/>
        </w:rPr>
      </w:pPr>
      <w:r w:rsidRPr="00C04C4B">
        <w:rPr>
          <w:rFonts w:ascii="Garamond" w:hAnsi="Garamond" w:cs="Arial"/>
        </w:rPr>
        <w:t>El interventor y/o supervisor verificará el cumplimiento de este criterio y, además, comprobará, para el inicio de la ejecución del contrato, que el futuro Contratista cumpla con las consideraciones establecidas para el Factor de Sostenibilidad. En caso de que se haya otorgado puntaje por este concepto, el Contratista deberá demostrar cómo garantizará el cumplimiento de cada uno de los criterios que integran dicho factor, y el interventor será responsable de revisarlo y validarlo. Asimismo, el Contratista deberá presentar la documentación correspondiente incluida en este numeral, así como la ficha técnica del papel a utilizar, conforme a lo indicado en el numeral “9.1. Información para el control de la ejecución”.</w:t>
      </w:r>
    </w:p>
    <w:p w14:paraId="495C8C46" w14:textId="77777777" w:rsidR="00C04C4B" w:rsidRPr="00C04C4B" w:rsidRDefault="00C04C4B" w:rsidP="00C04C4B">
      <w:pPr>
        <w:shd w:val="clear" w:color="auto" w:fill="FFFFFF" w:themeFill="background1"/>
        <w:jc w:val="both"/>
        <w:rPr>
          <w:rFonts w:ascii="Garamond" w:hAnsi="Garamond" w:cs="Arial"/>
        </w:rPr>
      </w:pPr>
    </w:p>
    <w:p w14:paraId="7E7E42DA" w14:textId="77777777" w:rsidR="00C04C4B" w:rsidRPr="00C04C4B" w:rsidRDefault="00C04C4B" w:rsidP="00C04C4B">
      <w:pPr>
        <w:jc w:val="both"/>
        <w:rPr>
          <w:rFonts w:ascii="Garamond" w:eastAsia="Arial" w:hAnsi="Garamond" w:cs="Arial"/>
          <w:color w:val="000000" w:themeColor="text1"/>
          <w:lang w:val="es-MX"/>
        </w:rPr>
      </w:pPr>
      <w:bookmarkStart w:id="730" w:name="_Toc508648278"/>
      <w:bookmarkStart w:id="731" w:name="_Toc508984062"/>
      <w:bookmarkStart w:id="732" w:name="_Toc509843893"/>
      <w:bookmarkStart w:id="733" w:name="_Toc511924801"/>
      <w:bookmarkStart w:id="734" w:name="_Toc520226890"/>
      <w:bookmarkStart w:id="735" w:name="_Toc520297860"/>
      <w:bookmarkStart w:id="736" w:name="_Toc520317125"/>
      <w:bookmarkStart w:id="737" w:name="_Toc533083728"/>
      <w:bookmarkStart w:id="738" w:name="_Toc35616438"/>
      <w:bookmarkStart w:id="739" w:name="_Toc40113368"/>
      <w:bookmarkStart w:id="740" w:name="_Toc108082928"/>
    </w:p>
    <w:p w14:paraId="4CD794D7" w14:textId="50454372" w:rsidR="00C04C4B" w:rsidRPr="00C04C4B" w:rsidRDefault="00C04C4B" w:rsidP="00A23238">
      <w:pPr>
        <w:pStyle w:val="Capitulo1"/>
        <w:numPr>
          <w:ilvl w:val="2"/>
          <w:numId w:val="54"/>
        </w:numPr>
        <w:tabs>
          <w:tab w:val="left" w:pos="851"/>
        </w:tabs>
        <w:spacing w:line="240" w:lineRule="auto"/>
        <w:jc w:val="both"/>
        <w:rPr>
          <w:rFonts w:ascii="Garamond" w:eastAsia="Arial" w:hAnsi="Garamond"/>
          <w:color w:val="auto"/>
          <w:sz w:val="22"/>
          <w:szCs w:val="22"/>
        </w:rPr>
      </w:pPr>
      <w:bookmarkStart w:id="741" w:name="_Toc215132458"/>
      <w:r w:rsidRPr="00C04C4B">
        <w:rPr>
          <w:rFonts w:ascii="Garamond" w:eastAsia="Arial" w:hAnsi="Garamond"/>
          <w:color w:val="auto"/>
          <w:sz w:val="22"/>
          <w:szCs w:val="22"/>
        </w:rPr>
        <w:t>APOYO A LA INDUSTRIA NACIONAL</w:t>
      </w:r>
      <w:bookmarkEnd w:id="730"/>
      <w:bookmarkEnd w:id="731"/>
      <w:bookmarkEnd w:id="732"/>
      <w:bookmarkEnd w:id="733"/>
      <w:bookmarkEnd w:id="734"/>
      <w:bookmarkEnd w:id="735"/>
      <w:bookmarkEnd w:id="736"/>
      <w:bookmarkEnd w:id="737"/>
      <w:bookmarkEnd w:id="738"/>
      <w:bookmarkEnd w:id="739"/>
      <w:bookmarkEnd w:id="740"/>
      <w:bookmarkEnd w:id="741"/>
    </w:p>
    <w:p w14:paraId="0575C876" w14:textId="77777777" w:rsidR="00C04C4B" w:rsidRPr="00C04C4B" w:rsidRDefault="00C04C4B" w:rsidP="00C04C4B">
      <w:pPr>
        <w:jc w:val="both"/>
        <w:rPr>
          <w:rFonts w:ascii="Garamond" w:eastAsia="Arial" w:hAnsi="Garamond"/>
          <w:b/>
          <w:bCs/>
          <w:lang w:eastAsia="es-ES"/>
        </w:rPr>
      </w:pPr>
    </w:p>
    <w:p w14:paraId="12980DDE" w14:textId="77777777" w:rsidR="00C04C4B" w:rsidRPr="00C04C4B" w:rsidRDefault="00C04C4B" w:rsidP="00C04C4B">
      <w:pPr>
        <w:jc w:val="both"/>
        <w:rPr>
          <w:rFonts w:ascii="Garamond" w:hAnsi="Garamond" w:cs="Arial"/>
          <w:lang w:val="es-MX"/>
        </w:rPr>
      </w:pPr>
      <w:bookmarkStart w:id="742" w:name="_Hlk516042322"/>
      <w:bookmarkStart w:id="743" w:name="_Hlk83980861"/>
      <w:bookmarkStart w:id="744" w:name="_Toc32144856"/>
      <w:bookmarkStart w:id="745" w:name="_Toc35616439"/>
      <w:bookmarkStart w:id="746" w:name="_Toc40113369"/>
      <w:r w:rsidRPr="00C04C4B">
        <w:rPr>
          <w:rFonts w:ascii="Garamond" w:hAnsi="Garamond" w:cs="Arial"/>
          <w:lang w:val="es-MX"/>
        </w:rPr>
        <w:t xml:space="preserve">Los Proponentes pueden obtener puntaje de apoyo a la industria nacional por: i) Servicios Nacionales o con Trato Nacional o por </w:t>
      </w:r>
      <w:proofErr w:type="spellStart"/>
      <w:r w:rsidRPr="00C04C4B">
        <w:rPr>
          <w:rFonts w:ascii="Garamond" w:hAnsi="Garamond" w:cs="Arial"/>
          <w:lang w:val="es-MX"/>
        </w:rPr>
        <w:t>ii</w:t>
      </w:r>
      <w:proofErr w:type="spellEnd"/>
      <w:r w:rsidRPr="00C04C4B">
        <w:rPr>
          <w:rFonts w:ascii="Garamond" w:hAnsi="Garamond" w:cs="Arial"/>
          <w:lang w:val="es-MX"/>
        </w:rPr>
        <w:t>) la incorporación de componente nacional en servicios extranjeros. La Entidad en ningún caso otorgará simultáneamente el puntaje por ambos aspectos.</w:t>
      </w:r>
    </w:p>
    <w:p w14:paraId="6E58BD8F" w14:textId="77777777" w:rsidR="00C04C4B" w:rsidRPr="00C04C4B" w:rsidRDefault="00C04C4B" w:rsidP="00C04C4B">
      <w:pPr>
        <w:jc w:val="both"/>
        <w:rPr>
          <w:rFonts w:ascii="Garamond" w:hAnsi="Garamond" w:cs="Arial"/>
          <w:lang w:val="es-MX"/>
        </w:rPr>
      </w:pPr>
    </w:p>
    <w:p w14:paraId="5D6D14D4" w14:textId="77777777" w:rsidR="00C04C4B" w:rsidRPr="00C04C4B" w:rsidRDefault="00C04C4B" w:rsidP="00C04C4B">
      <w:pPr>
        <w:jc w:val="both"/>
        <w:rPr>
          <w:rFonts w:ascii="Garamond" w:hAnsi="Garamond" w:cs="Arial"/>
          <w:lang w:val="es-MX"/>
        </w:rPr>
      </w:pPr>
      <w:r w:rsidRPr="00C04C4B">
        <w:rPr>
          <w:rFonts w:ascii="Garamond" w:hAnsi="Garamond" w:cs="Arial"/>
          <w:lang w:val="es-MX"/>
        </w:rPr>
        <w:lastRenderedPageBreak/>
        <w:t>Los puntajes para estimular a la industria nacional se relacionan en la siguiente tabla:</w:t>
      </w:r>
    </w:p>
    <w:p w14:paraId="3CC4E8D9" w14:textId="77777777" w:rsidR="00C04C4B" w:rsidRPr="00C04C4B" w:rsidRDefault="00C04C4B" w:rsidP="00C04C4B">
      <w:pPr>
        <w:jc w:val="both"/>
        <w:rPr>
          <w:rFonts w:ascii="Garamond" w:hAnsi="Garamond" w:cs="Arial"/>
          <w:lang w:val="es-MX"/>
        </w:rPr>
      </w:pPr>
    </w:p>
    <w:tbl>
      <w:tblPr>
        <w:tblW w:w="45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3140"/>
        <w:gridCol w:w="1398"/>
      </w:tblGrid>
      <w:tr w:rsidR="00C04C4B" w:rsidRPr="00C04C4B" w14:paraId="1D9AD21A" w14:textId="77777777" w:rsidTr="00CE73D4">
        <w:trPr>
          <w:trHeight w:val="340"/>
          <w:tblHeader/>
          <w:jc w:val="center"/>
        </w:trPr>
        <w:tc>
          <w:tcPr>
            <w:tcW w:w="3140" w:type="dxa"/>
            <w:tcBorders>
              <w:top w:val="double" w:sz="4" w:space="0" w:color="auto"/>
              <w:left w:val="double" w:sz="4" w:space="0" w:color="auto"/>
              <w:bottom w:val="single" w:sz="6" w:space="0" w:color="auto"/>
              <w:right w:val="single" w:sz="6" w:space="0" w:color="auto"/>
            </w:tcBorders>
            <w:shd w:val="clear" w:color="auto" w:fill="4A442A" w:themeFill="background2" w:themeFillShade="40"/>
            <w:vAlign w:val="center"/>
            <w:hideMark/>
          </w:tcPr>
          <w:p w14:paraId="6925B2E2" w14:textId="77777777" w:rsidR="00C04C4B" w:rsidRPr="00C04C4B" w:rsidRDefault="00C04C4B" w:rsidP="00CE73D4">
            <w:pPr>
              <w:jc w:val="center"/>
              <w:rPr>
                <w:rFonts w:ascii="Garamond" w:hAnsi="Garamond" w:cs="Arial"/>
                <w:b/>
                <w:caps/>
                <w:noProof/>
                <w:lang w:val="es-ES"/>
              </w:rPr>
            </w:pPr>
            <w:r w:rsidRPr="00C04C4B">
              <w:rPr>
                <w:rFonts w:ascii="Garamond" w:hAnsi="Garamond" w:cs="Arial"/>
                <w:b/>
                <w:bCs/>
                <w:noProof/>
                <w:lang w:val="es-ES"/>
              </w:rPr>
              <w:t>Concepto</w:t>
            </w:r>
          </w:p>
        </w:tc>
        <w:tc>
          <w:tcPr>
            <w:tcW w:w="1398" w:type="dxa"/>
            <w:tcBorders>
              <w:top w:val="double" w:sz="4" w:space="0" w:color="auto"/>
              <w:left w:val="single" w:sz="6" w:space="0" w:color="auto"/>
              <w:bottom w:val="single" w:sz="6" w:space="0" w:color="auto"/>
              <w:right w:val="double" w:sz="4" w:space="0" w:color="auto"/>
            </w:tcBorders>
            <w:shd w:val="clear" w:color="auto" w:fill="4A442A" w:themeFill="background2" w:themeFillShade="40"/>
            <w:vAlign w:val="center"/>
            <w:hideMark/>
          </w:tcPr>
          <w:p w14:paraId="664C7113" w14:textId="77777777" w:rsidR="00C04C4B" w:rsidRPr="00C04C4B" w:rsidRDefault="00C04C4B" w:rsidP="00CE73D4">
            <w:pPr>
              <w:jc w:val="center"/>
              <w:rPr>
                <w:rFonts w:ascii="Garamond" w:hAnsi="Garamond" w:cs="Arial"/>
                <w:b/>
                <w:caps/>
                <w:noProof/>
                <w:lang w:val="es-ES"/>
              </w:rPr>
            </w:pPr>
            <w:r w:rsidRPr="00C04C4B">
              <w:rPr>
                <w:rFonts w:ascii="Garamond" w:hAnsi="Garamond" w:cs="Arial"/>
                <w:b/>
                <w:bCs/>
                <w:noProof/>
                <w:lang w:val="es-ES"/>
              </w:rPr>
              <w:t>Puntaje</w:t>
            </w:r>
          </w:p>
        </w:tc>
      </w:tr>
      <w:tr w:rsidR="00C04C4B" w:rsidRPr="00C04C4B" w14:paraId="69A22BFD" w14:textId="77777777" w:rsidTr="00CE73D4">
        <w:trPr>
          <w:trHeight w:val="20"/>
          <w:jc w:val="center"/>
        </w:trPr>
        <w:tc>
          <w:tcPr>
            <w:tcW w:w="3140" w:type="dxa"/>
            <w:tcBorders>
              <w:top w:val="single" w:sz="6" w:space="0" w:color="auto"/>
              <w:left w:val="double" w:sz="4" w:space="0" w:color="auto"/>
              <w:bottom w:val="single" w:sz="6" w:space="0" w:color="auto"/>
              <w:right w:val="single" w:sz="6" w:space="0" w:color="auto"/>
            </w:tcBorders>
            <w:vAlign w:val="center"/>
            <w:hideMark/>
          </w:tcPr>
          <w:p w14:paraId="577AEE02" w14:textId="77777777" w:rsidR="00C04C4B" w:rsidRPr="00C04C4B" w:rsidRDefault="00C04C4B" w:rsidP="00CE73D4">
            <w:pPr>
              <w:jc w:val="both"/>
              <w:rPr>
                <w:rFonts w:ascii="Garamond" w:hAnsi="Garamond" w:cs="Arial"/>
                <w:caps/>
                <w:lang w:val="es-ES"/>
              </w:rPr>
            </w:pPr>
            <w:r w:rsidRPr="00C04C4B">
              <w:rPr>
                <w:rFonts w:ascii="Garamond" w:hAnsi="Garamond" w:cs="Arial"/>
                <w:lang w:val="es-ES"/>
              </w:rPr>
              <w:t>Promoción de Servicios Nacionales o con Trato Nacional</w:t>
            </w:r>
          </w:p>
        </w:tc>
        <w:tc>
          <w:tcPr>
            <w:tcW w:w="1398" w:type="dxa"/>
            <w:tcBorders>
              <w:top w:val="single" w:sz="6" w:space="0" w:color="auto"/>
              <w:left w:val="single" w:sz="6" w:space="0" w:color="auto"/>
              <w:bottom w:val="single" w:sz="6" w:space="0" w:color="auto"/>
              <w:right w:val="double" w:sz="4" w:space="0" w:color="auto"/>
            </w:tcBorders>
            <w:vAlign w:val="center"/>
            <w:hideMark/>
          </w:tcPr>
          <w:p w14:paraId="2209B645" w14:textId="77777777" w:rsidR="00C04C4B" w:rsidRPr="00C04C4B" w:rsidRDefault="00C04C4B" w:rsidP="00CE73D4">
            <w:pPr>
              <w:jc w:val="center"/>
              <w:rPr>
                <w:rFonts w:ascii="Garamond" w:hAnsi="Garamond" w:cs="Arial"/>
                <w:caps/>
                <w:lang w:val="es-ES"/>
              </w:rPr>
            </w:pPr>
            <w:r w:rsidRPr="00C04C4B">
              <w:rPr>
                <w:rFonts w:ascii="Garamond" w:hAnsi="Garamond" w:cs="Arial"/>
                <w:lang w:val="es-ES"/>
              </w:rPr>
              <w:t>20</w:t>
            </w:r>
          </w:p>
        </w:tc>
      </w:tr>
      <w:tr w:rsidR="00C04C4B" w:rsidRPr="00C04C4B" w14:paraId="1C4C07A5" w14:textId="77777777" w:rsidTr="00CE73D4">
        <w:trPr>
          <w:trHeight w:val="20"/>
          <w:jc w:val="center"/>
        </w:trPr>
        <w:tc>
          <w:tcPr>
            <w:tcW w:w="3140" w:type="dxa"/>
            <w:tcBorders>
              <w:top w:val="single" w:sz="6" w:space="0" w:color="auto"/>
              <w:left w:val="double" w:sz="4" w:space="0" w:color="auto"/>
              <w:bottom w:val="single" w:sz="6" w:space="0" w:color="auto"/>
              <w:right w:val="single" w:sz="6" w:space="0" w:color="auto"/>
            </w:tcBorders>
            <w:vAlign w:val="center"/>
            <w:hideMark/>
          </w:tcPr>
          <w:p w14:paraId="0D7E6839" w14:textId="77777777" w:rsidR="00C04C4B" w:rsidRPr="00C04C4B" w:rsidRDefault="00C04C4B" w:rsidP="00CE73D4">
            <w:pPr>
              <w:jc w:val="both"/>
              <w:rPr>
                <w:rFonts w:ascii="Garamond" w:hAnsi="Garamond" w:cs="Arial"/>
                <w:caps/>
                <w:noProof/>
                <w:lang w:val="es-ES"/>
              </w:rPr>
            </w:pPr>
            <w:r w:rsidRPr="00C04C4B">
              <w:rPr>
                <w:rFonts w:ascii="Garamond" w:hAnsi="Garamond" w:cs="Arial"/>
                <w:noProof/>
                <w:lang w:val="es-ES"/>
              </w:rPr>
              <w:t>Incorporación de componente nacional en servicios extranjeros</w:t>
            </w:r>
          </w:p>
        </w:tc>
        <w:tc>
          <w:tcPr>
            <w:tcW w:w="1398" w:type="dxa"/>
            <w:tcBorders>
              <w:top w:val="single" w:sz="6" w:space="0" w:color="auto"/>
              <w:left w:val="single" w:sz="6" w:space="0" w:color="auto"/>
              <w:bottom w:val="single" w:sz="6" w:space="0" w:color="auto"/>
              <w:right w:val="double" w:sz="4" w:space="0" w:color="auto"/>
            </w:tcBorders>
            <w:vAlign w:val="center"/>
            <w:hideMark/>
          </w:tcPr>
          <w:p w14:paraId="457107FB" w14:textId="77777777" w:rsidR="00C04C4B" w:rsidRPr="00C04C4B" w:rsidRDefault="00C04C4B" w:rsidP="00CE73D4">
            <w:pPr>
              <w:jc w:val="center"/>
              <w:rPr>
                <w:rFonts w:ascii="Garamond" w:hAnsi="Garamond" w:cs="Arial"/>
                <w:caps/>
                <w:noProof/>
                <w:lang w:val="es-ES"/>
              </w:rPr>
            </w:pPr>
            <w:r w:rsidRPr="00C04C4B">
              <w:rPr>
                <w:rFonts w:ascii="Garamond" w:hAnsi="Garamond" w:cs="Arial"/>
                <w:noProof/>
                <w:lang w:val="es-ES"/>
              </w:rPr>
              <w:t>5</w:t>
            </w:r>
          </w:p>
        </w:tc>
      </w:tr>
    </w:tbl>
    <w:p w14:paraId="2BCE0827" w14:textId="01C7CF13" w:rsidR="00C04C4B" w:rsidRPr="00C04C4B" w:rsidRDefault="00C04C4B" w:rsidP="00A23238">
      <w:pPr>
        <w:pStyle w:val="Capitulo1"/>
        <w:numPr>
          <w:ilvl w:val="3"/>
          <w:numId w:val="54"/>
        </w:numPr>
        <w:tabs>
          <w:tab w:val="left" w:pos="851"/>
        </w:tabs>
        <w:spacing w:line="240" w:lineRule="auto"/>
        <w:jc w:val="both"/>
        <w:rPr>
          <w:rFonts w:ascii="Garamond" w:eastAsia="Arial" w:hAnsi="Garamond"/>
          <w:color w:val="auto"/>
          <w:sz w:val="22"/>
          <w:szCs w:val="22"/>
        </w:rPr>
      </w:pPr>
      <w:bookmarkStart w:id="747" w:name="_Toc108082929"/>
      <w:bookmarkStart w:id="748" w:name="_Toc215132459"/>
      <w:bookmarkEnd w:id="743"/>
      <w:r w:rsidRPr="00C04C4B">
        <w:rPr>
          <w:rFonts w:ascii="Garamond" w:eastAsia="Arial" w:hAnsi="Garamond"/>
          <w:color w:val="auto"/>
          <w:sz w:val="22"/>
          <w:szCs w:val="22"/>
        </w:rPr>
        <w:t>PROMOCIÓN DE SERVICIOS NACIONALES O CON TRATO NACIONAL</w:t>
      </w:r>
      <w:bookmarkEnd w:id="747"/>
      <w:bookmarkEnd w:id="748"/>
      <w:r w:rsidRPr="00C04C4B">
        <w:rPr>
          <w:rFonts w:ascii="Garamond" w:eastAsia="Arial" w:hAnsi="Garamond"/>
          <w:color w:val="auto"/>
          <w:sz w:val="22"/>
          <w:szCs w:val="22"/>
        </w:rPr>
        <w:t xml:space="preserve"> </w:t>
      </w:r>
    </w:p>
    <w:p w14:paraId="1A1B9763" w14:textId="77777777" w:rsidR="00C04C4B" w:rsidRPr="00C04C4B" w:rsidRDefault="00C04C4B" w:rsidP="00C04C4B">
      <w:pPr>
        <w:pStyle w:val="InviasNormal"/>
        <w:spacing w:before="240"/>
        <w:jc w:val="both"/>
        <w:rPr>
          <w:rFonts w:ascii="Garamond" w:eastAsiaTheme="minorHAnsi" w:hAnsi="Garamond" w:cs="Arial"/>
          <w:iCs/>
          <w:sz w:val="22"/>
          <w:szCs w:val="22"/>
          <w:lang w:eastAsia="en-US"/>
        </w:rPr>
      </w:pPr>
      <w:bookmarkStart w:id="749" w:name="_Toc32144857"/>
      <w:bookmarkStart w:id="750" w:name="_Toc35616440"/>
      <w:bookmarkStart w:id="751" w:name="_Toc40113370"/>
      <w:bookmarkEnd w:id="744"/>
      <w:bookmarkEnd w:id="745"/>
      <w:bookmarkEnd w:id="746"/>
      <w:r w:rsidRPr="00C04C4B">
        <w:rPr>
          <w:rFonts w:ascii="Garamond" w:eastAsiaTheme="minorHAnsi" w:hAnsi="Garamond" w:cs="Arial"/>
          <w:iCs/>
          <w:sz w:val="22"/>
          <w:szCs w:val="22"/>
          <w:lang w:val="es-MX" w:eastAsia="en-US"/>
        </w:rPr>
        <w:t xml:space="preserve">En los contratos que deban cumplirse en Colombia, el servicio es nacional cuando </w:t>
      </w:r>
      <w:r w:rsidRPr="00C04C4B">
        <w:rPr>
          <w:rFonts w:ascii="Garamond" w:eastAsiaTheme="minorHAnsi" w:hAnsi="Garamond" w:cs="Arial"/>
          <w:iCs/>
          <w:sz w:val="22"/>
          <w:szCs w:val="22"/>
          <w:lang w:eastAsia="en-US"/>
        </w:rPr>
        <w:t xml:space="preserve">además de ofertarse por una persona natural colombiana o por un residente en Colombia, por una persona jurídica constituida de conformidad con la legislación colombiana o por un Proponente Plural </w:t>
      </w:r>
      <w:r w:rsidRPr="00C04C4B">
        <w:rPr>
          <w:rFonts w:ascii="Garamond" w:eastAsiaTheme="minorHAnsi" w:hAnsi="Garamond" w:cs="Arial"/>
          <w:iCs/>
          <w:sz w:val="22"/>
          <w:szCs w:val="22"/>
          <w:lang w:val="es-MX" w:eastAsia="en-US"/>
        </w:rPr>
        <w:t>integrado</w:t>
      </w:r>
      <w:r w:rsidRPr="00C04C4B">
        <w:rPr>
          <w:rFonts w:ascii="Garamond" w:eastAsiaTheme="minorHAnsi" w:hAnsi="Garamond" w:cs="Arial"/>
          <w:iCs/>
          <w:sz w:val="22"/>
          <w:szCs w:val="22"/>
          <w:lang w:eastAsia="en-US"/>
        </w:rPr>
        <w:t xml:space="preserve"> por estos o por estos y un extranjero con Trato Nacional</w:t>
      </w:r>
      <w:r w:rsidRPr="00C04C4B">
        <w:rPr>
          <w:rFonts w:ascii="Garamond" w:eastAsiaTheme="minorHAnsi" w:hAnsi="Garamond" w:cs="Arial"/>
          <w:iCs/>
          <w:sz w:val="22"/>
          <w:szCs w:val="22"/>
          <w:lang w:val="es-CO" w:eastAsia="en-US"/>
        </w:rPr>
        <w:t xml:space="preserve"> se compromete a</w:t>
      </w:r>
      <w:r w:rsidRPr="00C04C4B">
        <w:rPr>
          <w:rFonts w:ascii="Garamond" w:eastAsiaTheme="minorHAnsi" w:hAnsi="Garamond" w:cs="Arial"/>
          <w:iCs/>
          <w:sz w:val="22"/>
          <w:szCs w:val="22"/>
          <w:lang w:eastAsia="en-US"/>
        </w:rPr>
        <w:t xml:space="preserve"> vincula</w:t>
      </w:r>
      <w:r w:rsidRPr="00C04C4B">
        <w:rPr>
          <w:rFonts w:ascii="Garamond" w:eastAsiaTheme="minorHAnsi" w:hAnsi="Garamond" w:cs="Arial"/>
          <w:iCs/>
          <w:sz w:val="22"/>
          <w:szCs w:val="22"/>
          <w:lang w:val="es-CO" w:eastAsia="en-US"/>
        </w:rPr>
        <w:t>r</w:t>
      </w:r>
      <w:r w:rsidRPr="00C04C4B">
        <w:rPr>
          <w:rFonts w:ascii="Garamond" w:eastAsiaTheme="minorHAnsi" w:hAnsi="Garamond" w:cs="Arial"/>
          <w:iCs/>
          <w:sz w:val="22"/>
          <w:szCs w:val="22"/>
          <w:lang w:eastAsia="en-US"/>
        </w:rPr>
        <w:t xml:space="preserve"> el porcentaje mínimo de personal colombiano</w:t>
      </w:r>
      <w:r w:rsidRPr="00C04C4B">
        <w:rPr>
          <w:rFonts w:ascii="Garamond" w:eastAsiaTheme="minorHAnsi" w:hAnsi="Garamond" w:cs="Arial"/>
          <w:iCs/>
          <w:sz w:val="22"/>
          <w:szCs w:val="22"/>
          <w:lang w:val="es-CO" w:eastAsia="en-US"/>
        </w:rPr>
        <w:t>, que se desarrolla a continuación.</w:t>
      </w:r>
    </w:p>
    <w:p w14:paraId="2F8B74ED" w14:textId="77777777" w:rsidR="00C04C4B" w:rsidRPr="00C04C4B" w:rsidRDefault="00C04C4B" w:rsidP="00C04C4B">
      <w:pPr>
        <w:spacing w:after="160"/>
        <w:jc w:val="both"/>
        <w:rPr>
          <w:rFonts w:ascii="Garamond" w:eastAsiaTheme="minorHAnsi" w:hAnsi="Garamond" w:cs="Arial"/>
          <w:iCs/>
          <w:lang w:eastAsia="en-US"/>
        </w:rPr>
      </w:pPr>
      <w:r w:rsidRPr="00C04C4B">
        <w:rPr>
          <w:rFonts w:ascii="Garamond" w:eastAsiaTheme="minorHAnsi" w:hAnsi="Garamond" w:cs="Arial"/>
          <w:iCs/>
          <w:lang w:val="es-MX" w:eastAsia="en-US"/>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un Proponente Plural integrado por estos, sin que sea necesaria la vinculación de un porcentaje mínimo de personal colombiano.</w:t>
      </w:r>
    </w:p>
    <w:p w14:paraId="14117846" w14:textId="77777777" w:rsidR="00C04C4B" w:rsidRPr="00C04C4B" w:rsidRDefault="00C04C4B" w:rsidP="00C04C4B">
      <w:pPr>
        <w:spacing w:after="160"/>
        <w:jc w:val="both"/>
        <w:rPr>
          <w:rFonts w:ascii="Garamond" w:eastAsiaTheme="minorEastAsia" w:hAnsi="Garamond" w:cs="Arial"/>
          <w:lang w:val="es-MX" w:eastAsia="en-US"/>
        </w:rPr>
      </w:pPr>
      <w:r w:rsidRPr="00C04C4B">
        <w:rPr>
          <w:rFonts w:ascii="Garamond" w:eastAsiaTheme="minorEastAsia" w:hAnsi="Garamond" w:cs="Arial"/>
          <w:lang w:val="es-MX" w:eastAsia="en-US"/>
        </w:rPr>
        <w:t xml:space="preserve">En el caso de los Proponentes extranjeros con Trato Nacional que participen en el Proceso de Contratación de manera singular o mediante la conformación de un Proponente Plural podrán determinar si aplican las reglas previstas en este numeral o si, por el contrario, deciden acogerse a la regla de origen de su país. Para definir la regla aplicable al proceso, el Proponente extranjero con Trato Nacional así lo manifestará con el diligenciamiento de la opción 2 del “Formato 7A – Promoción de Servicios Nacionales o con Trato Nacional”. En el caso que no se escoja la opción 2 del “Formato 7A – Promoción de Servicios Nacionales o con Trato Nacional”, la Entidad deberá evaluar la oferta de acuerdo con las reglas previstas en este numeral. </w:t>
      </w:r>
    </w:p>
    <w:p w14:paraId="7D3FD68A" w14:textId="2C0A61A8" w:rsidR="00C04C4B" w:rsidRPr="00C04C4B" w:rsidRDefault="00C04C4B" w:rsidP="00C04C4B">
      <w:pPr>
        <w:spacing w:after="160"/>
        <w:jc w:val="both"/>
        <w:rPr>
          <w:rFonts w:ascii="Garamond" w:eastAsiaTheme="minorEastAsia" w:hAnsi="Garamond" w:cs="Arial"/>
          <w:iCs/>
          <w:lang w:eastAsia="en-US"/>
        </w:rPr>
      </w:pPr>
      <w:r w:rsidRPr="00C04C4B">
        <w:rPr>
          <w:rFonts w:ascii="Garamond" w:eastAsiaTheme="minorEastAsia" w:hAnsi="Garamond" w:cs="Arial"/>
          <w:iCs/>
          <w:lang w:eastAsia="en-US"/>
        </w:rPr>
        <w:t xml:space="preserve">Debido a la especialidad del contrato, en este Proceso de Contratación para el otorgamiento de puntaje no habrá bienes nacionales relevantes y, por tanto, se otorgará el puntaje de apoyo a la industria nacional a los Proponentes que se comprometan a vincular durante el desarrollo del objeto contractual un porcentaje de empleados o contratistas por prestación de servicios colombianos, de al menos el </w:t>
      </w:r>
      <w:r w:rsidR="005C04BC">
        <w:rPr>
          <w:rFonts w:ascii="Garamond" w:eastAsiaTheme="minorEastAsia" w:hAnsi="Garamond" w:cs="Arial"/>
          <w:iCs/>
          <w:lang w:eastAsia="en-US"/>
        </w:rPr>
        <w:t>40%</w:t>
      </w:r>
      <w:r w:rsidRPr="00C04C4B">
        <w:rPr>
          <w:rFonts w:ascii="Garamond" w:eastAsiaTheme="minorEastAsia" w:hAnsi="Garamond" w:cs="Arial"/>
          <w:iCs/>
          <w:lang w:eastAsia="en-US"/>
        </w:rPr>
        <w:t xml:space="preserve"> del personal requerido para el cumplimiento del contrato.</w:t>
      </w:r>
    </w:p>
    <w:p w14:paraId="1516666B" w14:textId="77777777" w:rsidR="00C04C4B" w:rsidRPr="00C04C4B" w:rsidRDefault="00C04C4B" w:rsidP="00C04C4B">
      <w:pPr>
        <w:spacing w:after="160"/>
        <w:jc w:val="both"/>
        <w:rPr>
          <w:rFonts w:ascii="Garamond" w:eastAsiaTheme="minorEastAsia" w:hAnsi="Garamond" w:cs="Arial"/>
          <w:iCs/>
          <w:lang w:eastAsia="en-US"/>
        </w:rPr>
      </w:pPr>
      <w:r w:rsidRPr="00C04C4B">
        <w:rPr>
          <w:rFonts w:ascii="Garamond" w:eastAsiaTheme="minorEastAsia" w:hAnsi="Garamond" w:cs="Arial"/>
          <w:iCs/>
          <w:lang w:eastAsia="en-US"/>
        </w:rPr>
        <w:t xml:space="preserve">Además de la incorporación de personal colombiano requerido para la ejecución del contrato, tratándose de Proponentes Plurales, su composición deberá estar acorde con lo exigido por la noción de Servicios Nacionales prevista en el artículo 2.2.1.1.1.3.1 del Decreto 1082 de 2015, </w:t>
      </w:r>
      <w:r w:rsidRPr="00C04C4B">
        <w:rPr>
          <w:rFonts w:ascii="Garamond" w:eastAsia="Arial" w:hAnsi="Garamond" w:cs="Arial"/>
        </w:rPr>
        <w:t xml:space="preserve">o la norma que la modifique, sustituya o </w:t>
      </w:r>
      <w:r w:rsidRPr="00C04C4B">
        <w:rPr>
          <w:rFonts w:ascii="Garamond" w:eastAsiaTheme="minorEastAsia" w:hAnsi="Garamond" w:cs="Arial"/>
          <w:lang w:eastAsia="es-ES"/>
        </w:rPr>
        <w:t xml:space="preserve">complemente, </w:t>
      </w:r>
      <w:r w:rsidRPr="00C04C4B">
        <w:rPr>
          <w:rFonts w:ascii="Garamond" w:eastAsiaTheme="minorEastAsia" w:hAnsi="Garamond" w:cs="Arial"/>
          <w:iCs/>
          <w:lang w:eastAsia="en-US"/>
        </w:rPr>
        <w:t xml:space="preserve">de lo que dependerá la franja del puntaje aplicable en lo referente al apoyo de la industria nacional.  </w:t>
      </w:r>
    </w:p>
    <w:p w14:paraId="1763DB22" w14:textId="77777777" w:rsidR="00C04C4B" w:rsidRPr="00C04C4B" w:rsidRDefault="00C04C4B" w:rsidP="00C04C4B">
      <w:pPr>
        <w:spacing w:after="160"/>
        <w:jc w:val="both"/>
        <w:rPr>
          <w:rFonts w:ascii="Garamond" w:eastAsiaTheme="minorEastAsia" w:hAnsi="Garamond" w:cs="Arial"/>
          <w:iCs/>
          <w:lang w:eastAsia="en-US"/>
        </w:rPr>
      </w:pPr>
      <w:r w:rsidRPr="00C04C4B">
        <w:rPr>
          <w:rFonts w:ascii="Garamond" w:eastAsiaTheme="minorEastAsia" w:hAnsi="Garamond" w:cs="Arial"/>
          <w:iCs/>
          <w:lang w:eastAsia="en-US"/>
        </w:rPr>
        <w:lastRenderedPageBreak/>
        <w:t>Para tales efectos, en la siguiente tabla se indican las posibles composiciones de Proponentes Plurales, la regla de origen que les aplica en virtud de dicha conformación, así como la franja de puntaje correspondiente:</w:t>
      </w:r>
    </w:p>
    <w:tbl>
      <w:tblPr>
        <w:tblpPr w:leftFromText="141" w:rightFromText="141" w:vertAnchor="text" w:tblpXSpec="center" w:tblpY="1"/>
        <w:tblOverlap w:val="never"/>
        <w:tblW w:w="779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85"/>
        <w:gridCol w:w="2711"/>
        <w:gridCol w:w="2454"/>
        <w:gridCol w:w="2040"/>
      </w:tblGrid>
      <w:tr w:rsidR="00C04C4B" w:rsidRPr="00C04C4B" w14:paraId="36969A55" w14:textId="77777777" w:rsidTr="00CE73D4">
        <w:trPr>
          <w:trHeight w:val="279"/>
          <w:tblHeader/>
          <w:jc w:val="center"/>
        </w:trPr>
        <w:tc>
          <w:tcPr>
            <w:tcW w:w="585" w:type="dxa"/>
            <w:tcBorders>
              <w:top w:val="double" w:sz="4" w:space="0" w:color="auto"/>
              <w:left w:val="double" w:sz="4" w:space="0" w:color="auto"/>
              <w:bottom w:val="single" w:sz="6" w:space="0" w:color="auto"/>
              <w:right w:val="single" w:sz="6" w:space="0" w:color="auto"/>
            </w:tcBorders>
            <w:shd w:val="clear" w:color="auto" w:fill="4A442A" w:themeFill="background2" w:themeFillShade="40"/>
            <w:vAlign w:val="center"/>
          </w:tcPr>
          <w:p w14:paraId="6CDA6D08" w14:textId="77777777" w:rsidR="00C04C4B" w:rsidRPr="00C04C4B" w:rsidRDefault="00C04C4B" w:rsidP="00CE73D4">
            <w:pPr>
              <w:jc w:val="center"/>
              <w:rPr>
                <w:rFonts w:ascii="Garamond" w:eastAsia="Yu Gothic Light" w:hAnsi="Garamond" w:cs="Arial"/>
                <w:b/>
                <w:iCs/>
                <w:lang w:val="es-MX" w:eastAsia="en-US"/>
              </w:rPr>
            </w:pPr>
            <w:bookmarkStart w:id="752" w:name="_Hlk83980975"/>
            <w:r w:rsidRPr="00C04C4B">
              <w:rPr>
                <w:rFonts w:ascii="Garamond" w:eastAsia="Yu Gothic Light" w:hAnsi="Garamond" w:cs="Arial"/>
                <w:b/>
                <w:iCs/>
                <w:lang w:val="es-MX" w:eastAsia="en-US"/>
              </w:rPr>
              <w:t>No.</w:t>
            </w:r>
          </w:p>
        </w:tc>
        <w:tc>
          <w:tcPr>
            <w:tcW w:w="2711" w:type="dxa"/>
            <w:tcBorders>
              <w:top w:val="double" w:sz="4" w:space="0" w:color="auto"/>
              <w:left w:val="single" w:sz="6" w:space="0" w:color="auto"/>
              <w:bottom w:val="single" w:sz="6" w:space="0" w:color="auto"/>
              <w:right w:val="double" w:sz="4" w:space="0" w:color="auto"/>
            </w:tcBorders>
            <w:shd w:val="clear" w:color="auto" w:fill="4A442A" w:themeFill="background2" w:themeFillShade="40"/>
            <w:vAlign w:val="center"/>
          </w:tcPr>
          <w:p w14:paraId="1295C944" w14:textId="77777777" w:rsidR="00C04C4B" w:rsidRPr="00C04C4B" w:rsidRDefault="00C04C4B" w:rsidP="00CE73D4">
            <w:pPr>
              <w:jc w:val="center"/>
              <w:rPr>
                <w:rFonts w:ascii="Garamond" w:eastAsia="Yu Gothic Light" w:hAnsi="Garamond" w:cs="Arial"/>
                <w:b/>
                <w:iCs/>
                <w:lang w:val="es-MX" w:eastAsia="en-US"/>
              </w:rPr>
            </w:pPr>
            <w:r w:rsidRPr="00C04C4B">
              <w:rPr>
                <w:rFonts w:ascii="Garamond" w:eastAsia="Yu Gothic Light" w:hAnsi="Garamond" w:cs="Arial"/>
                <w:b/>
                <w:iCs/>
                <w:lang w:val="es-MX" w:eastAsia="en-US"/>
              </w:rPr>
              <w:t>Composición del Proponente Plural</w:t>
            </w:r>
          </w:p>
        </w:tc>
        <w:tc>
          <w:tcPr>
            <w:tcW w:w="2454" w:type="dxa"/>
            <w:tcBorders>
              <w:top w:val="double" w:sz="4" w:space="0" w:color="auto"/>
              <w:left w:val="single" w:sz="6" w:space="0" w:color="auto"/>
              <w:bottom w:val="single" w:sz="6" w:space="0" w:color="auto"/>
              <w:right w:val="double" w:sz="4" w:space="0" w:color="auto"/>
            </w:tcBorders>
            <w:shd w:val="clear" w:color="auto" w:fill="4A442A" w:themeFill="background2" w:themeFillShade="40"/>
            <w:vAlign w:val="center"/>
          </w:tcPr>
          <w:p w14:paraId="1756E4D6" w14:textId="77777777" w:rsidR="00C04C4B" w:rsidRPr="00C04C4B" w:rsidRDefault="00C04C4B" w:rsidP="00CE73D4">
            <w:pPr>
              <w:jc w:val="center"/>
              <w:rPr>
                <w:rFonts w:ascii="Garamond" w:eastAsia="Yu Gothic Light" w:hAnsi="Garamond" w:cs="Arial"/>
                <w:b/>
                <w:iCs/>
                <w:lang w:val="es-MX" w:eastAsia="en-US"/>
              </w:rPr>
            </w:pPr>
            <w:r w:rsidRPr="00C04C4B">
              <w:rPr>
                <w:rFonts w:ascii="Garamond" w:eastAsia="Yu Gothic Light" w:hAnsi="Garamond" w:cs="Arial"/>
                <w:b/>
                <w:iCs/>
                <w:lang w:val="es-MX" w:eastAsia="en-US"/>
              </w:rPr>
              <w:t>Regla de origen aplicable</w:t>
            </w:r>
          </w:p>
        </w:tc>
        <w:tc>
          <w:tcPr>
            <w:tcW w:w="2040" w:type="dxa"/>
            <w:tcBorders>
              <w:top w:val="double" w:sz="4" w:space="0" w:color="auto"/>
              <w:left w:val="single" w:sz="6" w:space="0" w:color="auto"/>
              <w:bottom w:val="single" w:sz="6" w:space="0" w:color="auto"/>
              <w:right w:val="double" w:sz="4" w:space="0" w:color="auto"/>
            </w:tcBorders>
            <w:shd w:val="clear" w:color="auto" w:fill="4A442A" w:themeFill="background2" w:themeFillShade="40"/>
            <w:vAlign w:val="center"/>
          </w:tcPr>
          <w:p w14:paraId="7B95A2E1" w14:textId="77777777" w:rsidR="00C04C4B" w:rsidRPr="00C04C4B" w:rsidRDefault="00C04C4B" w:rsidP="00CE73D4">
            <w:pPr>
              <w:jc w:val="center"/>
              <w:rPr>
                <w:rFonts w:ascii="Garamond" w:eastAsia="Yu Gothic Light" w:hAnsi="Garamond" w:cs="Arial"/>
                <w:b/>
                <w:iCs/>
                <w:lang w:val="es-MX" w:eastAsia="en-US"/>
              </w:rPr>
            </w:pPr>
            <w:r w:rsidRPr="00C04C4B">
              <w:rPr>
                <w:rFonts w:ascii="Garamond" w:eastAsia="Yu Gothic Light" w:hAnsi="Garamond" w:cs="Arial"/>
                <w:b/>
                <w:iCs/>
                <w:lang w:val="es-MX" w:eastAsia="en-US"/>
              </w:rPr>
              <w:t>Puntaje aplicable</w:t>
            </w:r>
          </w:p>
        </w:tc>
      </w:tr>
      <w:tr w:rsidR="00C04C4B" w:rsidRPr="00C04C4B" w14:paraId="101A2A03" w14:textId="77777777" w:rsidTr="00CE73D4">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14:paraId="4AAB8DD0" w14:textId="77777777" w:rsidR="00C04C4B" w:rsidRPr="00C04C4B" w:rsidRDefault="00C04C4B" w:rsidP="00CE73D4">
            <w:pPr>
              <w:jc w:val="center"/>
              <w:rPr>
                <w:rFonts w:ascii="Garamond" w:eastAsiaTheme="minorHAnsi" w:hAnsi="Garamond" w:cs="Arial"/>
                <w:iCs/>
                <w:lang w:eastAsia="en-US"/>
              </w:rPr>
            </w:pPr>
            <w:r w:rsidRPr="00C04C4B">
              <w:rPr>
                <w:rFonts w:ascii="Garamond" w:eastAsiaTheme="minorHAnsi" w:hAnsi="Garamond" w:cs="Arial"/>
                <w:iCs/>
                <w:lang w:eastAsia="en-US"/>
              </w:rPr>
              <w:t>1.</w:t>
            </w:r>
          </w:p>
        </w:tc>
        <w:tc>
          <w:tcPr>
            <w:tcW w:w="2711" w:type="dxa"/>
            <w:tcBorders>
              <w:top w:val="single" w:sz="6" w:space="0" w:color="auto"/>
              <w:left w:val="single" w:sz="6" w:space="0" w:color="auto"/>
              <w:bottom w:val="single" w:sz="6" w:space="0" w:color="auto"/>
              <w:right w:val="double" w:sz="4" w:space="0" w:color="auto"/>
            </w:tcBorders>
            <w:vAlign w:val="center"/>
          </w:tcPr>
          <w:p w14:paraId="326C43B9" w14:textId="77777777" w:rsidR="00C04C4B" w:rsidRPr="00C04C4B" w:rsidRDefault="00C04C4B" w:rsidP="00CE73D4">
            <w:pPr>
              <w:jc w:val="center"/>
              <w:rPr>
                <w:rFonts w:ascii="Garamond" w:eastAsiaTheme="minorHAnsi" w:hAnsi="Garamond" w:cs="Arial"/>
                <w:iCs/>
                <w:lang w:eastAsia="en-US"/>
              </w:rPr>
            </w:pPr>
            <w:r w:rsidRPr="00C04C4B">
              <w:rPr>
                <w:rFonts w:ascii="Garamond" w:eastAsiaTheme="minorHAnsi" w:hAnsi="Garamond" w:cs="Arial"/>
                <w:iCs/>
                <w:lang w:eastAsia="en-US"/>
              </w:rPr>
              <w:t>Únicamente integrantes colombianos</w:t>
            </w:r>
          </w:p>
        </w:tc>
        <w:tc>
          <w:tcPr>
            <w:tcW w:w="2454" w:type="dxa"/>
            <w:tcBorders>
              <w:top w:val="single" w:sz="6" w:space="0" w:color="auto"/>
              <w:left w:val="single" w:sz="6" w:space="0" w:color="auto"/>
              <w:bottom w:val="single" w:sz="6" w:space="0" w:color="auto"/>
              <w:right w:val="double" w:sz="4" w:space="0" w:color="auto"/>
            </w:tcBorders>
            <w:vAlign w:val="center"/>
          </w:tcPr>
          <w:p w14:paraId="7E6EDDE7" w14:textId="77777777" w:rsidR="00C04C4B" w:rsidRPr="00C04C4B" w:rsidRDefault="00C04C4B" w:rsidP="00CE73D4">
            <w:pPr>
              <w:jc w:val="center"/>
              <w:rPr>
                <w:rFonts w:ascii="Garamond" w:eastAsiaTheme="minorHAnsi" w:hAnsi="Garamond" w:cs="Arial"/>
                <w:iCs/>
                <w:lang w:eastAsia="en-US"/>
              </w:rPr>
            </w:pPr>
            <w:r w:rsidRPr="00C04C4B">
              <w:rPr>
                <w:rFonts w:ascii="Garamond" w:eastAsiaTheme="minorHAnsi" w:hAnsi="Garamond" w:cs="Arial"/>
                <w:iCs/>
                <w:lang w:eastAsia="en-US"/>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7E43F4FB" w14:textId="77777777" w:rsidR="00C04C4B" w:rsidRPr="00C04C4B" w:rsidRDefault="00C04C4B" w:rsidP="00CE73D4">
            <w:pPr>
              <w:jc w:val="center"/>
              <w:rPr>
                <w:rFonts w:ascii="Garamond" w:eastAsiaTheme="minorEastAsia" w:hAnsi="Garamond" w:cs="Arial"/>
                <w:lang w:eastAsia="en-US"/>
              </w:rPr>
            </w:pPr>
            <w:r w:rsidRPr="00C04C4B">
              <w:rPr>
                <w:rFonts w:ascii="Garamond" w:eastAsiaTheme="minorEastAsia" w:hAnsi="Garamond" w:cs="Arial"/>
                <w:lang w:eastAsia="en-US"/>
              </w:rPr>
              <w:t>Promoción de Servicios Nacionales o con Trato Nacional (4.4.1)</w:t>
            </w:r>
          </w:p>
        </w:tc>
      </w:tr>
      <w:tr w:rsidR="00C04C4B" w:rsidRPr="00C04C4B" w14:paraId="6BF87E37" w14:textId="77777777" w:rsidTr="00CE73D4">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14:paraId="56CA6D0F" w14:textId="77777777" w:rsidR="00C04C4B" w:rsidRPr="00C04C4B" w:rsidRDefault="00C04C4B" w:rsidP="00CE73D4">
            <w:pPr>
              <w:jc w:val="center"/>
              <w:rPr>
                <w:rFonts w:ascii="Garamond" w:eastAsiaTheme="minorHAnsi" w:hAnsi="Garamond" w:cs="Arial"/>
                <w:iCs/>
                <w:lang w:eastAsia="en-US"/>
              </w:rPr>
            </w:pPr>
            <w:r w:rsidRPr="00C04C4B">
              <w:rPr>
                <w:rFonts w:ascii="Garamond" w:eastAsiaTheme="minorHAnsi" w:hAnsi="Garamond" w:cs="Arial"/>
                <w:iCs/>
                <w:lang w:eastAsia="en-US"/>
              </w:rPr>
              <w:t>2.</w:t>
            </w:r>
          </w:p>
        </w:tc>
        <w:tc>
          <w:tcPr>
            <w:tcW w:w="2711" w:type="dxa"/>
            <w:tcBorders>
              <w:top w:val="single" w:sz="6" w:space="0" w:color="auto"/>
              <w:left w:val="single" w:sz="6" w:space="0" w:color="auto"/>
              <w:bottom w:val="single" w:sz="6" w:space="0" w:color="auto"/>
              <w:right w:val="double" w:sz="4" w:space="0" w:color="auto"/>
            </w:tcBorders>
            <w:vAlign w:val="center"/>
          </w:tcPr>
          <w:p w14:paraId="2EC6CC97" w14:textId="77777777" w:rsidR="00C04C4B" w:rsidRPr="00C04C4B" w:rsidRDefault="00C04C4B" w:rsidP="00CE73D4">
            <w:pPr>
              <w:jc w:val="center"/>
              <w:rPr>
                <w:rFonts w:ascii="Garamond" w:eastAsiaTheme="minorHAnsi" w:hAnsi="Garamond" w:cs="Arial"/>
                <w:iCs/>
                <w:lang w:eastAsia="en-US"/>
              </w:rPr>
            </w:pPr>
            <w:r w:rsidRPr="00C04C4B">
              <w:rPr>
                <w:rFonts w:ascii="Garamond" w:eastAsiaTheme="minorHAnsi" w:hAnsi="Garamond" w:cs="Arial"/>
                <w:iCs/>
                <w:lang w:eastAsia="en-US"/>
              </w:rPr>
              <w:t>Colombianos en asocio con extranjeros con Trato Nacional</w:t>
            </w:r>
          </w:p>
        </w:tc>
        <w:tc>
          <w:tcPr>
            <w:tcW w:w="2454" w:type="dxa"/>
            <w:tcBorders>
              <w:top w:val="single" w:sz="6" w:space="0" w:color="auto"/>
              <w:left w:val="single" w:sz="6" w:space="0" w:color="auto"/>
              <w:bottom w:val="single" w:sz="6" w:space="0" w:color="auto"/>
              <w:right w:val="double" w:sz="4" w:space="0" w:color="auto"/>
            </w:tcBorders>
            <w:vAlign w:val="center"/>
          </w:tcPr>
          <w:p w14:paraId="1BA3852A" w14:textId="77777777" w:rsidR="00C04C4B" w:rsidRPr="00C04C4B" w:rsidRDefault="00C04C4B" w:rsidP="00CE73D4">
            <w:pPr>
              <w:jc w:val="center"/>
              <w:rPr>
                <w:rFonts w:ascii="Garamond" w:eastAsiaTheme="minorHAnsi" w:hAnsi="Garamond" w:cs="Arial"/>
                <w:iCs/>
                <w:lang w:eastAsia="en-US"/>
              </w:rPr>
            </w:pPr>
            <w:r w:rsidRPr="00C04C4B">
              <w:rPr>
                <w:rFonts w:ascii="Garamond" w:eastAsiaTheme="minorHAnsi" w:hAnsi="Garamond" w:cs="Arial"/>
                <w:iCs/>
                <w:lang w:eastAsia="en-US"/>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6B385A99" w14:textId="77777777" w:rsidR="00C04C4B" w:rsidRPr="00C04C4B" w:rsidRDefault="00C04C4B" w:rsidP="00CE73D4">
            <w:pPr>
              <w:jc w:val="center"/>
              <w:rPr>
                <w:rFonts w:ascii="Garamond" w:eastAsiaTheme="minorEastAsia" w:hAnsi="Garamond" w:cs="Arial"/>
                <w:lang w:eastAsia="en-US"/>
              </w:rPr>
            </w:pPr>
            <w:r w:rsidRPr="00C04C4B">
              <w:rPr>
                <w:rFonts w:ascii="Garamond" w:eastAsiaTheme="minorEastAsia" w:hAnsi="Garamond" w:cs="Arial"/>
                <w:lang w:eastAsia="en-US"/>
              </w:rPr>
              <w:t>Promoción de Servicios Nacionales o con Trato Nacional (4.4.1)</w:t>
            </w:r>
          </w:p>
        </w:tc>
      </w:tr>
      <w:tr w:rsidR="00C04C4B" w:rsidRPr="00C04C4B" w14:paraId="62758FA5" w14:textId="77777777" w:rsidTr="00CE73D4">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14:paraId="370EEDB5" w14:textId="77777777" w:rsidR="00C04C4B" w:rsidRPr="00C04C4B" w:rsidRDefault="00C04C4B" w:rsidP="00CE73D4">
            <w:pPr>
              <w:jc w:val="center"/>
              <w:rPr>
                <w:rFonts w:ascii="Garamond" w:eastAsiaTheme="minorHAnsi" w:hAnsi="Garamond" w:cs="Arial"/>
                <w:iCs/>
                <w:lang w:eastAsia="en-US"/>
              </w:rPr>
            </w:pPr>
            <w:r w:rsidRPr="00C04C4B">
              <w:rPr>
                <w:rFonts w:ascii="Garamond" w:eastAsiaTheme="minorHAnsi" w:hAnsi="Garamond" w:cs="Arial"/>
                <w:iCs/>
                <w:lang w:eastAsia="en-US"/>
              </w:rPr>
              <w:t>3.</w:t>
            </w:r>
          </w:p>
        </w:tc>
        <w:tc>
          <w:tcPr>
            <w:tcW w:w="2711" w:type="dxa"/>
            <w:tcBorders>
              <w:top w:val="single" w:sz="6" w:space="0" w:color="auto"/>
              <w:left w:val="single" w:sz="6" w:space="0" w:color="auto"/>
              <w:bottom w:val="single" w:sz="6" w:space="0" w:color="auto"/>
              <w:right w:val="double" w:sz="4" w:space="0" w:color="auto"/>
            </w:tcBorders>
            <w:vAlign w:val="center"/>
          </w:tcPr>
          <w:p w14:paraId="52C1F79E" w14:textId="77777777" w:rsidR="00C04C4B" w:rsidRPr="00C04C4B" w:rsidRDefault="00C04C4B" w:rsidP="00CE73D4">
            <w:pPr>
              <w:jc w:val="center"/>
              <w:rPr>
                <w:rFonts w:ascii="Garamond" w:eastAsiaTheme="minorHAnsi" w:hAnsi="Garamond" w:cs="Arial"/>
                <w:iCs/>
                <w:lang w:eastAsia="en-US"/>
              </w:rPr>
            </w:pPr>
            <w:r w:rsidRPr="00C04C4B">
              <w:rPr>
                <w:rFonts w:ascii="Garamond" w:eastAsiaTheme="minorHAnsi" w:hAnsi="Garamond" w:cs="Arial"/>
                <w:iCs/>
                <w:lang w:eastAsia="en-US"/>
              </w:rPr>
              <w:t>Únicamente integrado por extranjeros con Trato Nacional</w:t>
            </w:r>
          </w:p>
        </w:tc>
        <w:tc>
          <w:tcPr>
            <w:tcW w:w="2454" w:type="dxa"/>
            <w:tcBorders>
              <w:top w:val="single" w:sz="6" w:space="0" w:color="auto"/>
              <w:left w:val="single" w:sz="6" w:space="0" w:color="auto"/>
              <w:bottom w:val="single" w:sz="6" w:space="0" w:color="auto"/>
              <w:right w:val="double" w:sz="4" w:space="0" w:color="auto"/>
            </w:tcBorders>
          </w:tcPr>
          <w:p w14:paraId="76455172" w14:textId="77777777" w:rsidR="00C04C4B" w:rsidRPr="00C04C4B" w:rsidRDefault="00C04C4B" w:rsidP="00CE73D4">
            <w:pPr>
              <w:jc w:val="center"/>
              <w:rPr>
                <w:rFonts w:ascii="Garamond" w:eastAsiaTheme="minorHAnsi" w:hAnsi="Garamond" w:cs="Arial"/>
                <w:iCs/>
                <w:lang w:eastAsia="en-US"/>
              </w:rPr>
            </w:pPr>
            <w:r w:rsidRPr="00C04C4B">
              <w:rPr>
                <w:rFonts w:ascii="Garamond" w:eastAsiaTheme="minorHAnsi" w:hAnsi="Garamond" w:cs="Arial"/>
                <w:iCs/>
                <w:lang w:eastAsia="en-US"/>
              </w:rPr>
              <w:t>La regla de origen del país con el que se tenga acuerdo comercial o la del Decreto 1082 de 2015. Si el Proponente Plural no especifica a cuál regla se acoge se aplicará la del 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5C527594" w14:textId="77777777" w:rsidR="00C04C4B" w:rsidRPr="00C04C4B" w:rsidRDefault="00C04C4B" w:rsidP="00CE73D4">
            <w:pPr>
              <w:jc w:val="center"/>
              <w:rPr>
                <w:rFonts w:ascii="Garamond" w:eastAsiaTheme="minorEastAsia" w:hAnsi="Garamond" w:cs="Arial"/>
                <w:lang w:eastAsia="en-US"/>
              </w:rPr>
            </w:pPr>
            <w:r w:rsidRPr="00C04C4B">
              <w:rPr>
                <w:rFonts w:ascii="Garamond" w:eastAsiaTheme="minorEastAsia" w:hAnsi="Garamond" w:cs="Arial"/>
                <w:lang w:eastAsia="en-US"/>
              </w:rPr>
              <w:t>Promoción de Servicios Nacionales o con Trato Nacional (4.4.1)</w:t>
            </w:r>
          </w:p>
        </w:tc>
      </w:tr>
      <w:tr w:rsidR="00C04C4B" w:rsidRPr="00C04C4B" w14:paraId="1E63D1B5" w14:textId="77777777" w:rsidTr="00CE73D4">
        <w:trPr>
          <w:trHeight w:val="16"/>
          <w:jc w:val="center"/>
        </w:trPr>
        <w:tc>
          <w:tcPr>
            <w:tcW w:w="585" w:type="dxa"/>
            <w:tcBorders>
              <w:top w:val="single" w:sz="6" w:space="0" w:color="auto"/>
              <w:left w:val="double" w:sz="4" w:space="0" w:color="auto"/>
              <w:bottom w:val="double" w:sz="4" w:space="0" w:color="auto"/>
              <w:right w:val="single" w:sz="6" w:space="0" w:color="auto"/>
            </w:tcBorders>
            <w:vAlign w:val="center"/>
          </w:tcPr>
          <w:p w14:paraId="5314A7D3" w14:textId="77777777" w:rsidR="00C04C4B" w:rsidRPr="00C04C4B" w:rsidRDefault="00C04C4B" w:rsidP="00CE73D4">
            <w:pPr>
              <w:jc w:val="center"/>
              <w:rPr>
                <w:rFonts w:ascii="Garamond" w:eastAsiaTheme="minorHAnsi" w:hAnsi="Garamond" w:cs="Arial"/>
                <w:iCs/>
                <w:lang w:eastAsia="en-US"/>
              </w:rPr>
            </w:pPr>
            <w:r w:rsidRPr="00C04C4B">
              <w:rPr>
                <w:rFonts w:ascii="Garamond" w:eastAsiaTheme="minorHAnsi" w:hAnsi="Garamond" w:cs="Arial"/>
                <w:iCs/>
                <w:lang w:eastAsia="en-US"/>
              </w:rPr>
              <w:t>4.</w:t>
            </w:r>
          </w:p>
        </w:tc>
        <w:tc>
          <w:tcPr>
            <w:tcW w:w="2711" w:type="dxa"/>
            <w:tcBorders>
              <w:top w:val="single" w:sz="6" w:space="0" w:color="auto"/>
              <w:left w:val="single" w:sz="6" w:space="0" w:color="auto"/>
              <w:bottom w:val="double" w:sz="4" w:space="0" w:color="auto"/>
              <w:right w:val="double" w:sz="4" w:space="0" w:color="auto"/>
            </w:tcBorders>
            <w:vAlign w:val="center"/>
          </w:tcPr>
          <w:p w14:paraId="5A771F4B" w14:textId="77777777" w:rsidR="00C04C4B" w:rsidRPr="00C04C4B" w:rsidRDefault="00C04C4B" w:rsidP="00CE73D4">
            <w:pPr>
              <w:jc w:val="center"/>
              <w:rPr>
                <w:rFonts w:ascii="Garamond" w:eastAsiaTheme="minorHAnsi" w:hAnsi="Garamond" w:cs="Arial"/>
                <w:iCs/>
                <w:lang w:eastAsia="en-US"/>
              </w:rPr>
            </w:pPr>
            <w:r w:rsidRPr="00C04C4B">
              <w:rPr>
                <w:rFonts w:ascii="Garamond" w:eastAsiaTheme="minorHAnsi" w:hAnsi="Garamond" w:cs="Arial"/>
                <w:iCs/>
                <w:lang w:eastAsia="en-US"/>
              </w:rPr>
              <w:t>Proponente Plural en el que al menos uno de los integrantes es extranjero sin Trato Nacional.</w:t>
            </w:r>
          </w:p>
        </w:tc>
        <w:tc>
          <w:tcPr>
            <w:tcW w:w="2454" w:type="dxa"/>
            <w:tcBorders>
              <w:top w:val="single" w:sz="6" w:space="0" w:color="auto"/>
              <w:left w:val="single" w:sz="6" w:space="0" w:color="auto"/>
              <w:bottom w:val="double" w:sz="4" w:space="0" w:color="auto"/>
              <w:right w:val="double" w:sz="4" w:space="0" w:color="auto"/>
            </w:tcBorders>
            <w:vAlign w:val="center"/>
          </w:tcPr>
          <w:p w14:paraId="26F871B0" w14:textId="77777777" w:rsidR="00C04C4B" w:rsidRPr="00C04C4B" w:rsidRDefault="00C04C4B" w:rsidP="00CE73D4">
            <w:pPr>
              <w:jc w:val="center"/>
              <w:rPr>
                <w:rFonts w:ascii="Garamond" w:eastAsiaTheme="minorHAnsi" w:hAnsi="Garamond" w:cs="Arial"/>
                <w:iCs/>
                <w:lang w:eastAsia="en-US"/>
              </w:rPr>
            </w:pPr>
            <w:r w:rsidRPr="00C04C4B">
              <w:rPr>
                <w:rFonts w:ascii="Garamond" w:eastAsiaTheme="minorHAnsi" w:hAnsi="Garamond" w:cs="Arial"/>
                <w:iCs/>
                <w:lang w:eastAsia="en-US"/>
              </w:rPr>
              <w:t>No aplica la regla de origen del Decreto 1082 de 2015, ni la de los países de origen.</w:t>
            </w:r>
          </w:p>
        </w:tc>
        <w:tc>
          <w:tcPr>
            <w:tcW w:w="2040" w:type="dxa"/>
            <w:tcBorders>
              <w:top w:val="single" w:sz="6" w:space="0" w:color="auto"/>
              <w:left w:val="single" w:sz="6" w:space="0" w:color="auto"/>
              <w:bottom w:val="double" w:sz="4" w:space="0" w:color="auto"/>
              <w:right w:val="double" w:sz="4" w:space="0" w:color="auto"/>
            </w:tcBorders>
          </w:tcPr>
          <w:p w14:paraId="242E46EE" w14:textId="77777777" w:rsidR="00C04C4B" w:rsidRPr="00C04C4B" w:rsidRDefault="00C04C4B" w:rsidP="00CE73D4">
            <w:pPr>
              <w:jc w:val="center"/>
              <w:rPr>
                <w:rFonts w:ascii="Garamond" w:eastAsiaTheme="minorEastAsia" w:hAnsi="Garamond" w:cs="Arial"/>
                <w:lang w:eastAsia="en-US"/>
              </w:rPr>
            </w:pPr>
            <w:r w:rsidRPr="00C04C4B">
              <w:rPr>
                <w:rFonts w:ascii="Garamond" w:eastAsiaTheme="minorEastAsia" w:hAnsi="Garamond" w:cs="Arial"/>
                <w:lang w:eastAsia="en-US"/>
              </w:rPr>
              <w:t>Incorporación de componente nacional en servicios extranjeros (4.4.2)</w:t>
            </w:r>
          </w:p>
        </w:tc>
      </w:tr>
      <w:bookmarkEnd w:id="752"/>
    </w:tbl>
    <w:p w14:paraId="7670DDE6" w14:textId="77777777" w:rsidR="00C04C4B" w:rsidRPr="00C04C4B" w:rsidRDefault="00C04C4B" w:rsidP="00C04C4B">
      <w:pPr>
        <w:rPr>
          <w:rFonts w:ascii="Garamond" w:hAnsi="Garamond"/>
        </w:rPr>
      </w:pPr>
    </w:p>
    <w:p w14:paraId="62FDB5E4" w14:textId="77777777" w:rsidR="00C04C4B" w:rsidRPr="00C04C4B" w:rsidRDefault="00C04C4B" w:rsidP="00C04C4B">
      <w:pPr>
        <w:rPr>
          <w:rFonts w:ascii="Garamond" w:eastAsia="Arial" w:hAnsi="Garamond"/>
        </w:rPr>
      </w:pPr>
      <w:r w:rsidRPr="00C04C4B">
        <w:rPr>
          <w:rFonts w:ascii="Garamond" w:eastAsia="Arial" w:hAnsi="Garamond"/>
        </w:rPr>
        <w:br w:type="textWrapping" w:clear="all"/>
      </w:r>
      <w:bookmarkStart w:id="753" w:name="_Toc108082930"/>
    </w:p>
    <w:p w14:paraId="3A37D70D" w14:textId="77D70FED" w:rsidR="00C04C4B" w:rsidRPr="00C04C4B" w:rsidRDefault="00C04C4B" w:rsidP="00A23238">
      <w:pPr>
        <w:pStyle w:val="Capitulo1"/>
        <w:numPr>
          <w:ilvl w:val="4"/>
          <w:numId w:val="54"/>
        </w:numPr>
        <w:tabs>
          <w:tab w:val="left" w:pos="851"/>
        </w:tabs>
        <w:spacing w:line="240" w:lineRule="auto"/>
        <w:jc w:val="both"/>
        <w:rPr>
          <w:rFonts w:ascii="Garamond" w:eastAsia="Arial" w:hAnsi="Garamond"/>
          <w:color w:val="auto"/>
          <w:sz w:val="22"/>
          <w:szCs w:val="22"/>
        </w:rPr>
      </w:pPr>
      <w:bookmarkStart w:id="754" w:name="_Toc215132460"/>
      <w:r w:rsidRPr="00C04C4B">
        <w:rPr>
          <w:rFonts w:ascii="Garamond" w:eastAsia="Arial" w:hAnsi="Garamond"/>
          <w:color w:val="auto"/>
          <w:sz w:val="22"/>
          <w:szCs w:val="22"/>
        </w:rPr>
        <w:t>ACREDITACIÓN DEL PUNTAJE POR SERVICIOS NACIONALES O CON TRATO NACIONAL</w:t>
      </w:r>
      <w:bookmarkEnd w:id="753"/>
      <w:bookmarkEnd w:id="754"/>
    </w:p>
    <w:p w14:paraId="0B41E4CB" w14:textId="77777777" w:rsidR="00C04C4B" w:rsidRPr="00C04C4B" w:rsidRDefault="00C04C4B" w:rsidP="00C04C4B">
      <w:pPr>
        <w:shd w:val="clear" w:color="auto" w:fill="FFFFFF" w:themeFill="background1"/>
        <w:tabs>
          <w:tab w:val="left" w:pos="1134"/>
        </w:tabs>
        <w:jc w:val="both"/>
        <w:rPr>
          <w:rFonts w:ascii="Garamond" w:hAnsi="Garamond" w:cs="Arial"/>
          <w:b/>
          <w:bCs/>
        </w:rPr>
      </w:pPr>
      <w:r w:rsidRPr="00C04C4B">
        <w:rPr>
          <w:rFonts w:ascii="Garamond" w:eastAsiaTheme="minorEastAsia" w:hAnsi="Garamond" w:cs="Arial"/>
          <w:lang w:eastAsia="en-US"/>
        </w:rPr>
        <w:t xml:space="preserve">La Entidad asignará hasta veinte (20) puntos a la oferta de: i) Servicios Nacionales o </w:t>
      </w:r>
      <w:proofErr w:type="spellStart"/>
      <w:r w:rsidRPr="00C04C4B">
        <w:rPr>
          <w:rFonts w:ascii="Garamond" w:eastAsiaTheme="minorEastAsia" w:hAnsi="Garamond" w:cs="Arial"/>
          <w:lang w:eastAsia="en-US"/>
        </w:rPr>
        <w:t>ii</w:t>
      </w:r>
      <w:proofErr w:type="spellEnd"/>
      <w:r w:rsidRPr="00C04C4B">
        <w:rPr>
          <w:rFonts w:ascii="Garamond" w:eastAsiaTheme="minorEastAsia" w:hAnsi="Garamond" w:cs="Arial"/>
          <w:lang w:eastAsia="en-US"/>
        </w:rPr>
        <w:t xml:space="preserve">) con Trato Nacional. </w:t>
      </w:r>
    </w:p>
    <w:p w14:paraId="79F2F5C4" w14:textId="77777777" w:rsidR="00C04C4B" w:rsidRPr="00C04C4B" w:rsidRDefault="00C04C4B" w:rsidP="00C04C4B">
      <w:pPr>
        <w:shd w:val="clear" w:color="auto" w:fill="FFFFFF" w:themeFill="background1"/>
        <w:tabs>
          <w:tab w:val="left" w:pos="1134"/>
        </w:tabs>
        <w:jc w:val="both"/>
        <w:rPr>
          <w:rFonts w:ascii="Garamond" w:hAnsi="Garamond" w:cs="Arial"/>
          <w:b/>
          <w:iCs/>
        </w:rPr>
      </w:pPr>
    </w:p>
    <w:p w14:paraId="78CB5EFB" w14:textId="77777777" w:rsidR="00C04C4B" w:rsidRPr="00C04C4B" w:rsidRDefault="00C04C4B" w:rsidP="00C04C4B">
      <w:pPr>
        <w:shd w:val="clear" w:color="auto" w:fill="FFFFFF" w:themeFill="background1"/>
        <w:tabs>
          <w:tab w:val="left" w:pos="1134"/>
        </w:tabs>
        <w:jc w:val="both"/>
        <w:rPr>
          <w:rFonts w:ascii="Garamond" w:eastAsiaTheme="minorEastAsia" w:hAnsi="Garamond" w:cs="Arial"/>
          <w:lang w:eastAsia="en-US"/>
        </w:rPr>
      </w:pPr>
      <w:r w:rsidRPr="00C04C4B">
        <w:rPr>
          <w:rFonts w:ascii="Garamond" w:eastAsiaTheme="minorEastAsia" w:hAnsi="Garamond" w:cs="Arial"/>
          <w:iCs/>
          <w:lang w:eastAsia="en-US"/>
        </w:rPr>
        <w:t xml:space="preserve">Para que el Proponente nacional obtenga puntaje por Servicios Nacionales debe diligenciar el </w:t>
      </w:r>
      <w:r w:rsidRPr="00C04C4B">
        <w:rPr>
          <w:rFonts w:ascii="Garamond" w:eastAsiaTheme="minorEastAsia" w:hAnsi="Garamond" w:cs="Arial"/>
          <w:lang w:eastAsia="en-US"/>
        </w:rPr>
        <w:t>“</w:t>
      </w:r>
      <w:r w:rsidRPr="00C04C4B">
        <w:rPr>
          <w:rFonts w:ascii="Garamond" w:eastAsiaTheme="minorEastAsia" w:hAnsi="Garamond" w:cs="Arial"/>
          <w:iCs/>
          <w:lang w:eastAsia="en-US"/>
        </w:rPr>
        <w:t>Formato 7A – Promoción de Servicios Nacionales o con Trato Nacional</w:t>
      </w:r>
      <w:r w:rsidRPr="00C04C4B">
        <w:rPr>
          <w:rFonts w:ascii="Garamond" w:eastAsiaTheme="minorEastAsia" w:hAnsi="Garamond" w:cs="Arial"/>
          <w:lang w:eastAsia="en-US"/>
        </w:rPr>
        <w:t>” y, además, aportar</w:t>
      </w:r>
      <w:r w:rsidRPr="00C04C4B">
        <w:rPr>
          <w:rFonts w:ascii="Garamond" w:eastAsiaTheme="minorEastAsia" w:hAnsi="Garamond" w:cs="Arial"/>
          <w:iCs/>
          <w:lang w:eastAsia="en-US"/>
        </w:rPr>
        <w:t xml:space="preserve"> alguno de los siguientes documentos, según corresponda: </w:t>
      </w:r>
    </w:p>
    <w:p w14:paraId="2D07A9E9" w14:textId="77777777" w:rsidR="00C04C4B" w:rsidRPr="00C04C4B" w:rsidRDefault="00C04C4B" w:rsidP="00C04C4B">
      <w:pPr>
        <w:shd w:val="clear" w:color="auto" w:fill="FFFFFF" w:themeFill="background1"/>
        <w:tabs>
          <w:tab w:val="left" w:pos="1134"/>
        </w:tabs>
        <w:ind w:right="709"/>
        <w:jc w:val="both"/>
        <w:rPr>
          <w:rFonts w:ascii="Garamond" w:eastAsiaTheme="minorHAnsi" w:hAnsi="Garamond" w:cs="Arial"/>
          <w:b/>
          <w:i/>
          <w:lang w:val="es-ES" w:eastAsia="es-ES"/>
        </w:rPr>
      </w:pPr>
    </w:p>
    <w:p w14:paraId="1A0E2AAF" w14:textId="77777777" w:rsidR="00C04C4B" w:rsidRPr="00C04C4B" w:rsidRDefault="00C04C4B" w:rsidP="00A23238">
      <w:pPr>
        <w:widowControl/>
        <w:numPr>
          <w:ilvl w:val="0"/>
          <w:numId w:val="46"/>
        </w:numPr>
        <w:spacing w:after="160"/>
        <w:ind w:left="567" w:firstLine="142"/>
        <w:contextualSpacing/>
        <w:jc w:val="both"/>
        <w:rPr>
          <w:rFonts w:ascii="Garamond" w:eastAsiaTheme="minorHAnsi" w:hAnsi="Garamond" w:cs="Arial"/>
          <w:iCs/>
          <w:lang w:eastAsia="en-US"/>
        </w:rPr>
      </w:pPr>
      <w:r w:rsidRPr="00C04C4B">
        <w:rPr>
          <w:rFonts w:ascii="Garamond" w:eastAsiaTheme="minorEastAsia" w:hAnsi="Garamond" w:cs="Arial"/>
          <w:iCs/>
          <w:lang w:eastAsia="en-US"/>
        </w:rPr>
        <w:t>Persona natural colombiana: La cédula de ciudadanía del Proponente.</w:t>
      </w:r>
    </w:p>
    <w:p w14:paraId="2C8849A7" w14:textId="77777777" w:rsidR="00C04C4B" w:rsidRPr="00C04C4B" w:rsidRDefault="00C04C4B" w:rsidP="00C04C4B">
      <w:pPr>
        <w:spacing w:after="160"/>
        <w:ind w:left="567"/>
        <w:contextualSpacing/>
        <w:jc w:val="both"/>
        <w:rPr>
          <w:rFonts w:ascii="Garamond" w:eastAsiaTheme="minorHAnsi" w:hAnsi="Garamond" w:cs="Arial"/>
          <w:iCs/>
          <w:lang w:eastAsia="en-US"/>
        </w:rPr>
      </w:pPr>
    </w:p>
    <w:p w14:paraId="037E497D" w14:textId="77777777" w:rsidR="00C04C4B" w:rsidRPr="00C04C4B" w:rsidRDefault="00C04C4B" w:rsidP="00A23238">
      <w:pPr>
        <w:widowControl/>
        <w:numPr>
          <w:ilvl w:val="0"/>
          <w:numId w:val="46"/>
        </w:numPr>
        <w:spacing w:after="160"/>
        <w:ind w:left="1418" w:hanging="709"/>
        <w:contextualSpacing/>
        <w:jc w:val="both"/>
        <w:rPr>
          <w:rFonts w:ascii="Garamond" w:eastAsiaTheme="minorHAnsi" w:hAnsi="Garamond" w:cs="Arial"/>
          <w:iCs/>
          <w:lang w:eastAsia="en-US"/>
        </w:rPr>
      </w:pPr>
      <w:r w:rsidRPr="00C04C4B">
        <w:rPr>
          <w:rFonts w:ascii="Garamond" w:eastAsiaTheme="minorEastAsia" w:hAnsi="Garamond" w:cs="Arial"/>
          <w:iCs/>
          <w:lang w:eastAsia="en-US"/>
        </w:rPr>
        <w:t xml:space="preserve">Persona natural extranjera residente en Colombia: La visa de residencia que le permita la ejecución del objeto contractual de conformidad con la ley. </w:t>
      </w:r>
    </w:p>
    <w:p w14:paraId="1ED5EE45" w14:textId="77777777" w:rsidR="00C04C4B" w:rsidRPr="00C04C4B" w:rsidRDefault="00C04C4B" w:rsidP="00C04C4B">
      <w:pPr>
        <w:spacing w:after="160"/>
        <w:ind w:left="567"/>
        <w:contextualSpacing/>
        <w:jc w:val="both"/>
        <w:rPr>
          <w:rFonts w:ascii="Garamond" w:eastAsiaTheme="minorHAnsi" w:hAnsi="Garamond" w:cs="Arial"/>
          <w:iCs/>
          <w:lang w:eastAsia="en-US"/>
        </w:rPr>
      </w:pPr>
    </w:p>
    <w:p w14:paraId="102286D7" w14:textId="77777777" w:rsidR="00C04C4B" w:rsidRPr="00C04C4B" w:rsidRDefault="00C04C4B" w:rsidP="00A23238">
      <w:pPr>
        <w:widowControl/>
        <w:numPr>
          <w:ilvl w:val="0"/>
          <w:numId w:val="46"/>
        </w:numPr>
        <w:spacing w:after="160"/>
        <w:ind w:left="1418" w:hanging="709"/>
        <w:contextualSpacing/>
        <w:jc w:val="both"/>
        <w:rPr>
          <w:rFonts w:ascii="Garamond" w:eastAsiaTheme="minorEastAsia" w:hAnsi="Garamond" w:cs="Arial"/>
          <w:iCs/>
          <w:lang w:eastAsia="en-US"/>
        </w:rPr>
      </w:pPr>
      <w:r w:rsidRPr="00C04C4B">
        <w:rPr>
          <w:rFonts w:ascii="Garamond" w:eastAsiaTheme="minorEastAsia" w:hAnsi="Garamond" w:cs="Arial"/>
          <w:iCs/>
          <w:lang w:eastAsia="en-US"/>
        </w:rPr>
        <w:lastRenderedPageBreak/>
        <w:t xml:space="preserve">Persona jurídica constituida en Colombia: El certificado de existencia y representación legal emitido por alguna de las cámaras de comercio del país. </w:t>
      </w:r>
    </w:p>
    <w:p w14:paraId="179B9B4F" w14:textId="77777777" w:rsidR="00C04C4B" w:rsidRPr="00C04C4B" w:rsidRDefault="00C04C4B" w:rsidP="00C04C4B">
      <w:pPr>
        <w:spacing w:after="160"/>
        <w:ind w:left="567"/>
        <w:contextualSpacing/>
        <w:jc w:val="both"/>
        <w:rPr>
          <w:rFonts w:ascii="Garamond" w:eastAsiaTheme="minorEastAsia" w:hAnsi="Garamond" w:cs="Arial"/>
          <w:iCs/>
          <w:lang w:eastAsia="en-US"/>
        </w:rPr>
      </w:pPr>
    </w:p>
    <w:p w14:paraId="47A1D7D3" w14:textId="77777777" w:rsidR="00C04C4B" w:rsidRPr="00C04C4B" w:rsidRDefault="00C04C4B" w:rsidP="00C04C4B">
      <w:pPr>
        <w:spacing w:after="160"/>
        <w:contextualSpacing/>
        <w:jc w:val="both"/>
        <w:rPr>
          <w:rFonts w:ascii="Garamond" w:eastAsiaTheme="minorHAnsi" w:hAnsi="Garamond" w:cs="Arial"/>
          <w:iCs/>
          <w:lang w:eastAsia="en-US"/>
        </w:rPr>
      </w:pPr>
      <w:r w:rsidRPr="00C04C4B">
        <w:rPr>
          <w:rFonts w:ascii="Garamond" w:eastAsiaTheme="minorHAnsi" w:hAnsi="Garamond" w:cs="Arial"/>
          <w:iCs/>
          <w:lang w:eastAsia="en-US"/>
        </w:rPr>
        <w:t xml:space="preserve">Para que el Proponente extranjero con Trato Nacional obtenga el puntaje por apoyo a la industria nacional por promoción de Servicios Nacionales o con Trato Nacional solo deberá diligenciar el “Formato 7A – Promoción de Servicios Nacionales o con Trato Nacional”. </w:t>
      </w:r>
    </w:p>
    <w:p w14:paraId="26E1A759" w14:textId="77777777" w:rsidR="00C04C4B" w:rsidRPr="00C04C4B" w:rsidRDefault="00C04C4B" w:rsidP="00C04C4B">
      <w:pPr>
        <w:spacing w:after="160"/>
        <w:contextualSpacing/>
        <w:jc w:val="both"/>
        <w:rPr>
          <w:rFonts w:ascii="Garamond" w:eastAsiaTheme="minorEastAsia" w:hAnsi="Garamond" w:cs="Arial"/>
          <w:iCs/>
          <w:lang w:eastAsia="en-US"/>
        </w:rPr>
      </w:pPr>
    </w:p>
    <w:p w14:paraId="39DDD82D" w14:textId="77777777" w:rsidR="00C04C4B" w:rsidRPr="00C04C4B" w:rsidRDefault="00C04C4B" w:rsidP="00C04C4B">
      <w:pPr>
        <w:spacing w:after="160"/>
        <w:ind w:hanging="1"/>
        <w:contextualSpacing/>
        <w:jc w:val="both"/>
        <w:rPr>
          <w:rFonts w:ascii="Garamond" w:eastAsiaTheme="minorEastAsia" w:hAnsi="Garamond" w:cs="Arial"/>
          <w:iCs/>
          <w:lang w:eastAsia="en-US"/>
        </w:rPr>
      </w:pPr>
      <w:r w:rsidRPr="00C04C4B">
        <w:rPr>
          <w:rFonts w:ascii="Garamond" w:eastAsiaTheme="minorEastAsia" w:hAnsi="Garamond" w:cs="Arial"/>
          <w:iCs/>
          <w:lang w:eastAsia="en-US"/>
        </w:rPr>
        <w:t xml:space="preserve">Para que el Proponente extranjero con Trato Nacional que diligencie la opción 2 del </w:t>
      </w:r>
      <w:r w:rsidRPr="00C04C4B">
        <w:rPr>
          <w:rFonts w:ascii="Garamond" w:eastAsiaTheme="minorEastAsia" w:hAnsi="Garamond" w:cs="Arial"/>
          <w:lang w:eastAsia="en-US"/>
        </w:rPr>
        <w:t>“</w:t>
      </w:r>
      <w:r w:rsidRPr="00C04C4B">
        <w:rPr>
          <w:rFonts w:ascii="Garamond" w:eastAsiaTheme="minorEastAsia" w:hAnsi="Garamond" w:cs="Arial"/>
          <w:iCs/>
          <w:lang w:eastAsia="en-US"/>
        </w:rPr>
        <w:t>Formato 7A – Promoción de Servicios Nacionales o con Trato Nacional</w:t>
      </w:r>
      <w:r w:rsidRPr="00C04C4B">
        <w:rPr>
          <w:rFonts w:ascii="Garamond" w:eastAsiaTheme="minorEastAsia" w:hAnsi="Garamond" w:cs="Arial"/>
          <w:lang w:eastAsia="en-US"/>
        </w:rPr>
        <w:t>”</w:t>
      </w:r>
      <w:r w:rsidRPr="00C04C4B">
        <w:rPr>
          <w:rFonts w:ascii="Garamond" w:eastAsiaTheme="minorEastAsia" w:hAnsi="Garamond" w:cs="Arial"/>
          <w:iCs/>
          <w:lang w:eastAsia="en-US"/>
        </w:rPr>
        <w:t xml:space="preserve"> obtenga el puntaje por Trato Nacional, deberá acreditar que los servicios son originarios de: a) los Estados mencionados en la sección de Acuerdos Comerciales aplicables al Proceso de Contratación; b) los Estados en los cuales si bien no existe Acuerdo Comercial, el Gobierno Nacional ha certificado que los oferentes colombianos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 información y/o documentación que sea requerida. </w:t>
      </w:r>
    </w:p>
    <w:p w14:paraId="0EBAFDD5" w14:textId="77777777" w:rsidR="00C04C4B" w:rsidRPr="00C04C4B" w:rsidRDefault="00C04C4B" w:rsidP="00C04C4B">
      <w:pPr>
        <w:jc w:val="both"/>
        <w:rPr>
          <w:rFonts w:ascii="Garamond" w:eastAsiaTheme="minorEastAsia" w:hAnsi="Garamond" w:cs="Arial"/>
          <w:iCs/>
          <w:lang w:eastAsia="en-US"/>
        </w:rPr>
      </w:pPr>
      <w:r w:rsidRPr="00C04C4B">
        <w:rPr>
          <w:rFonts w:ascii="Garamond" w:eastAsiaTheme="minorEastAsia" w:hAnsi="Garamond" w:cs="Arial"/>
          <w:iCs/>
          <w:lang w:eastAsia="en-US"/>
        </w:rPr>
        <w:t> </w:t>
      </w:r>
    </w:p>
    <w:p w14:paraId="36A892CC" w14:textId="77777777" w:rsidR="00C04C4B" w:rsidRPr="00C04C4B" w:rsidRDefault="00C04C4B" w:rsidP="00C04C4B">
      <w:pPr>
        <w:jc w:val="both"/>
        <w:rPr>
          <w:rFonts w:ascii="Garamond" w:eastAsiaTheme="minorEastAsia" w:hAnsi="Garamond" w:cs="Arial"/>
          <w:iCs/>
          <w:lang w:eastAsia="en-US"/>
        </w:rPr>
      </w:pPr>
      <w:r w:rsidRPr="00C04C4B">
        <w:rPr>
          <w:rFonts w:ascii="Garamond" w:eastAsiaTheme="minorEastAsia" w:hAnsi="Garamond" w:cs="Arial"/>
          <w:iCs/>
          <w:lang w:eastAsia="en-US"/>
        </w:rPr>
        <w:t xml:space="preserve">El Proponente nacional tiene la facultad de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7C145B58" w14:textId="77777777" w:rsidR="00C04C4B" w:rsidRPr="00C04C4B" w:rsidRDefault="00C04C4B" w:rsidP="00C04C4B">
      <w:pPr>
        <w:jc w:val="both"/>
        <w:rPr>
          <w:rFonts w:ascii="Garamond" w:eastAsiaTheme="minorEastAsia" w:hAnsi="Garamond" w:cs="Arial"/>
          <w:iCs/>
          <w:lang w:eastAsia="en-US"/>
        </w:rPr>
      </w:pPr>
    </w:p>
    <w:p w14:paraId="34014ADC" w14:textId="77777777" w:rsidR="00C04C4B" w:rsidRPr="00C04C4B" w:rsidRDefault="00C04C4B" w:rsidP="00C04C4B">
      <w:pPr>
        <w:spacing w:after="160"/>
        <w:jc w:val="both"/>
        <w:rPr>
          <w:rFonts w:ascii="Garamond" w:eastAsiaTheme="minorEastAsia" w:hAnsi="Garamond" w:cs="Arial"/>
          <w:lang w:eastAsia="en-US"/>
        </w:rPr>
      </w:pPr>
      <w:r w:rsidRPr="00C04C4B">
        <w:rPr>
          <w:rFonts w:ascii="Garamond" w:eastAsiaTheme="minorEastAsia" w:hAnsi="Garamond" w:cs="Arial"/>
          <w:lang w:eastAsia="en-US"/>
        </w:rPr>
        <w:t>La Entidad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7A – Promoción de Servicios Nacionales o con Trato Nacional”. Cuando uno o varios de sus integrantes no cumplan con las condiciones descritas el Proponente Plural no obtendrá puntaje por Promoción de Servicios Nacionales o Trato Nacional.</w:t>
      </w:r>
    </w:p>
    <w:p w14:paraId="30A1B88F" w14:textId="4847267D" w:rsidR="00C04C4B" w:rsidRPr="00C04C4B" w:rsidRDefault="00C04C4B" w:rsidP="00C04C4B">
      <w:pPr>
        <w:jc w:val="both"/>
        <w:rPr>
          <w:rFonts w:ascii="Garamond" w:eastAsia="Arial" w:hAnsi="Garamond" w:cs="Arial"/>
        </w:rPr>
      </w:pPr>
      <w:r w:rsidRPr="00C04C4B">
        <w:rPr>
          <w:rFonts w:ascii="Garamond" w:eastAsia="Arial" w:hAnsi="Garamond" w:cs="Arial"/>
          <w:b/>
          <w:bCs/>
          <w:u w:val="single"/>
        </w:rPr>
        <w:t xml:space="preserve">Nota 13: </w:t>
      </w:r>
      <w:r w:rsidRPr="00C04C4B">
        <w:rPr>
          <w:rFonts w:ascii="Garamond" w:eastAsia="Arial" w:hAnsi="Garamond" w:cs="Arial"/>
        </w:rPr>
        <w:t xml:space="preserve">En el caso de que la subsanación del CERTIFICADO DE EXISTENCIA Y </w:t>
      </w:r>
      <w:r w:rsidR="00D65841" w:rsidRPr="00C04C4B">
        <w:rPr>
          <w:rFonts w:ascii="Garamond" w:eastAsia="Arial" w:hAnsi="Garamond" w:cs="Arial"/>
        </w:rPr>
        <w:t>REPRESENTACIÓN</w:t>
      </w:r>
      <w:r w:rsidRPr="00C04C4B">
        <w:rPr>
          <w:rFonts w:ascii="Garamond" w:eastAsia="Arial" w:hAnsi="Garamond" w:cs="Arial"/>
        </w:rPr>
        <w:t xml:space="preserve"> LEGAL se realice con ocasión al requisito habilitante relacionado con la fecha de expedición del certificado, es decir, no superar los treinta (30) días de expedición del certificado, no se afectara la asignación del puntaje por este criterio</w:t>
      </w:r>
    </w:p>
    <w:p w14:paraId="4732093C" w14:textId="77777777" w:rsidR="00C04C4B" w:rsidRPr="00C04C4B" w:rsidRDefault="00C04C4B" w:rsidP="00C04C4B">
      <w:pPr>
        <w:jc w:val="both"/>
        <w:rPr>
          <w:rFonts w:ascii="Garamond" w:eastAsia="Arial" w:hAnsi="Garamond" w:cs="Arial"/>
        </w:rPr>
      </w:pPr>
      <w:r w:rsidRPr="00C04C4B">
        <w:rPr>
          <w:rFonts w:ascii="Garamond" w:eastAsia="Arial" w:hAnsi="Garamond" w:cs="Arial"/>
        </w:rPr>
        <w:t xml:space="preserve"> </w:t>
      </w:r>
    </w:p>
    <w:p w14:paraId="659920FB" w14:textId="3F8E25F5" w:rsidR="00C04C4B" w:rsidRPr="00C04C4B" w:rsidRDefault="00C04C4B" w:rsidP="00C04C4B">
      <w:pPr>
        <w:jc w:val="both"/>
        <w:rPr>
          <w:rFonts w:ascii="Garamond" w:eastAsia="Arial" w:hAnsi="Garamond" w:cs="Arial"/>
          <w:lang w:val="es-ES"/>
        </w:rPr>
      </w:pPr>
      <w:r w:rsidRPr="00C04C4B">
        <w:rPr>
          <w:rFonts w:ascii="Garamond" w:eastAsia="Arial" w:hAnsi="Garamond" w:cs="Arial"/>
          <w:lang w:val="es-ES"/>
        </w:rPr>
        <w:t xml:space="preserve">Por lo tanto, una vez presentada la subsanación, la Entidad Estatal analizará y evaluará la información proporcionada por el proponente para determinar si se trata exclusivamente de una actualización de la fecha de expedición del CERTIFICADO DE EXISTENCIA Y </w:t>
      </w:r>
      <w:r w:rsidR="00D65841" w:rsidRPr="00C04C4B">
        <w:rPr>
          <w:rFonts w:ascii="Garamond" w:eastAsia="Arial" w:hAnsi="Garamond" w:cs="Arial"/>
          <w:lang w:val="es-ES"/>
        </w:rPr>
        <w:t>REPRESENTACIÓN</w:t>
      </w:r>
      <w:r w:rsidRPr="00C04C4B">
        <w:rPr>
          <w:rFonts w:ascii="Garamond" w:eastAsia="Arial" w:hAnsi="Garamond" w:cs="Arial"/>
          <w:lang w:val="es-ES"/>
        </w:rPr>
        <w:t xml:space="preserve"> LEGAL, sin que ello implique una mejora en la oferta inicialmente presentada. En caso afirmativo, se podrá otorgar al proponente el puntaje correspondiente por este criterio</w:t>
      </w:r>
    </w:p>
    <w:p w14:paraId="3E932363" w14:textId="77777777" w:rsidR="00C04C4B" w:rsidRPr="00C04C4B" w:rsidRDefault="00C04C4B" w:rsidP="00C04C4B">
      <w:pPr>
        <w:spacing w:after="160"/>
        <w:jc w:val="both"/>
        <w:rPr>
          <w:rFonts w:ascii="Garamond" w:eastAsiaTheme="minorEastAsia" w:hAnsi="Garamond" w:cs="Arial"/>
          <w:lang w:eastAsia="en-US"/>
        </w:rPr>
      </w:pPr>
    </w:p>
    <w:p w14:paraId="2DC15D84" w14:textId="4A4751E2" w:rsidR="00C04C4B" w:rsidRPr="00C04C4B" w:rsidRDefault="00C04C4B" w:rsidP="00A23238">
      <w:pPr>
        <w:pStyle w:val="Capitulo1"/>
        <w:numPr>
          <w:ilvl w:val="4"/>
          <w:numId w:val="54"/>
        </w:numPr>
        <w:tabs>
          <w:tab w:val="left" w:pos="851"/>
        </w:tabs>
        <w:spacing w:line="240" w:lineRule="auto"/>
        <w:jc w:val="both"/>
        <w:rPr>
          <w:rFonts w:ascii="Garamond" w:eastAsia="Arial" w:hAnsi="Garamond"/>
          <w:color w:val="auto"/>
          <w:sz w:val="22"/>
          <w:szCs w:val="22"/>
        </w:rPr>
      </w:pPr>
      <w:bookmarkStart w:id="755" w:name="_Toc108082931"/>
      <w:bookmarkStart w:id="756" w:name="_Toc215132461"/>
      <w:r w:rsidRPr="00C04C4B">
        <w:rPr>
          <w:rFonts w:ascii="Garamond" w:eastAsia="Arial" w:hAnsi="Garamond"/>
          <w:color w:val="auto"/>
          <w:sz w:val="22"/>
          <w:szCs w:val="22"/>
        </w:rPr>
        <w:lastRenderedPageBreak/>
        <w:t>INCORPORACIÓN DE COMPONENTE NACIONAL</w:t>
      </w:r>
      <w:bookmarkEnd w:id="749"/>
      <w:bookmarkEnd w:id="750"/>
      <w:bookmarkEnd w:id="751"/>
      <w:r w:rsidRPr="00C04C4B">
        <w:rPr>
          <w:rFonts w:ascii="Garamond" w:eastAsia="Arial" w:hAnsi="Garamond"/>
          <w:color w:val="auto"/>
          <w:sz w:val="22"/>
          <w:szCs w:val="22"/>
        </w:rPr>
        <w:t xml:space="preserve"> EN SERVICIOS EXTRANJEROS</w:t>
      </w:r>
      <w:bookmarkEnd w:id="755"/>
      <w:bookmarkEnd w:id="756"/>
    </w:p>
    <w:p w14:paraId="6E2D4E8B" w14:textId="77777777" w:rsidR="00C04C4B" w:rsidRPr="00C04C4B" w:rsidRDefault="00C04C4B" w:rsidP="00C04C4B">
      <w:pPr>
        <w:rPr>
          <w:rFonts w:ascii="Garamond" w:hAnsi="Garamond"/>
        </w:rPr>
      </w:pPr>
    </w:p>
    <w:p w14:paraId="5B2B102C" w14:textId="77777777" w:rsidR="00C04C4B" w:rsidRPr="00C04C4B" w:rsidRDefault="00C04C4B" w:rsidP="00C04C4B">
      <w:pPr>
        <w:spacing w:after="200"/>
        <w:jc w:val="both"/>
        <w:rPr>
          <w:rFonts w:ascii="Garamond" w:eastAsia="Arial" w:hAnsi="Garamond" w:cs="Arial"/>
          <w:lang w:eastAsia="es-ES"/>
        </w:rPr>
      </w:pPr>
      <w:bookmarkStart w:id="757" w:name="_Hlk83981226"/>
      <w:r w:rsidRPr="00C04C4B">
        <w:rPr>
          <w:rFonts w:ascii="Garamond" w:eastAsia="Arial" w:hAnsi="Garamond" w:cs="Arial"/>
          <w:lang w:eastAsia="es-ES"/>
        </w:rPr>
        <w:t>La Entidad asignará cinco (5) puntos a los Proponentes extranjeros sin derecho a Trato Nacional o a los Proponentes Plurales en los que al menos uno de sus integrantes sea un extranjero sin derecho a Trato Nacional, que se comprometan a incorporar a la ejecución del contrato más del noventa por ciento (90 %) del personal técnico, operativo y profesional de origen colombiano.</w:t>
      </w:r>
    </w:p>
    <w:p w14:paraId="1E18548F" w14:textId="77777777" w:rsidR="00C04C4B" w:rsidRPr="00C04C4B" w:rsidRDefault="00C04C4B" w:rsidP="00C04C4B">
      <w:pPr>
        <w:spacing w:after="200"/>
        <w:jc w:val="both"/>
        <w:rPr>
          <w:rFonts w:ascii="Garamond" w:eastAsia="Arial" w:hAnsi="Garamond" w:cs="Arial"/>
          <w:lang w:eastAsia="es-ES"/>
        </w:rPr>
      </w:pPr>
      <w:r w:rsidRPr="00C04C4B">
        <w:rPr>
          <w:rFonts w:ascii="Garamond" w:eastAsia="Arial" w:hAnsi="Garamond" w:cs="Arial"/>
          <w:lang w:eastAsia="es-ES"/>
        </w:rPr>
        <w:t>Por otro lado, el Proponente que ofrezca personal colombiano con títulos académicos otorgados en el exterior deberá demostrar la convalidación de estos títulos en Colombia ante el Ministerio de Educación Nacional. En este sentido, para acreditar los títulos académicos concedidos en el exterior se requiere presentar la Resolución expedida por el Ministerio de Educación Nacional que reconoce el título obtenido en el exterior.</w:t>
      </w:r>
    </w:p>
    <w:p w14:paraId="2670ACFF" w14:textId="77777777" w:rsidR="00C04C4B" w:rsidRPr="00C04C4B" w:rsidRDefault="00C04C4B" w:rsidP="00C04C4B">
      <w:pPr>
        <w:spacing w:after="200"/>
        <w:jc w:val="both"/>
        <w:rPr>
          <w:rFonts w:ascii="Garamond" w:eastAsia="Arial" w:hAnsi="Garamond" w:cs="Arial"/>
          <w:lang w:eastAsia="es-ES"/>
        </w:rPr>
      </w:pPr>
      <w:r w:rsidRPr="00C04C4B">
        <w:rPr>
          <w:rFonts w:ascii="Garamond" w:eastAsia="Arial" w:hAnsi="Garamond" w:cs="Arial"/>
          <w:lang w:eastAsia="es-ES"/>
        </w:rPr>
        <w:t>Para recibir el puntaje por incorporación de componente colombiano, el representante legal o el apoderado del Proponente deberá diligenciar el “Formato 7B – Incorporación de Componente Nacional en Servicios Extranjeros”, en el cual manifieste bajo la gravedad del juramento que incorporará en la ejecución del contrato más del noventa por ciento (90 %) de personal técnico, operativo y profesional de origen colombiano, en caso de resultar adjudicatario del Proceso de Contratación.</w:t>
      </w:r>
    </w:p>
    <w:p w14:paraId="4BA96B35" w14:textId="77777777" w:rsidR="00C04C4B" w:rsidRPr="00C04C4B" w:rsidRDefault="00C04C4B" w:rsidP="00C04C4B">
      <w:pPr>
        <w:spacing w:after="200"/>
        <w:jc w:val="both"/>
        <w:rPr>
          <w:rFonts w:ascii="Garamond" w:eastAsia="Arial" w:hAnsi="Garamond" w:cs="Arial"/>
          <w:lang w:eastAsia="es-ES"/>
        </w:rPr>
      </w:pPr>
      <w:r w:rsidRPr="00C04C4B">
        <w:rPr>
          <w:rFonts w:ascii="Garamond" w:eastAsia="Arial" w:hAnsi="Garamond" w:cs="Arial"/>
          <w:lang w:eastAsia="es-ES"/>
        </w:rPr>
        <w:t>La Entidad únicamente otorgará el puntaje por promoción de la incorporación de componente nacional cuando el Proponente que diligencie el “Formato 7B – Incorporación de Componente Nacional en Servicios Extranjeros” no haya recibido puntaje alguno por promoción de Servicios Nacionales o con Trato Nacional.</w:t>
      </w:r>
    </w:p>
    <w:p w14:paraId="3D82AF6A" w14:textId="77777777" w:rsidR="00C04C4B" w:rsidRPr="00C04C4B" w:rsidRDefault="00C04C4B" w:rsidP="00C04C4B">
      <w:pPr>
        <w:spacing w:after="200"/>
        <w:jc w:val="both"/>
        <w:rPr>
          <w:rFonts w:ascii="Garamond" w:eastAsia="Arial" w:hAnsi="Garamond" w:cs="Arial"/>
          <w:lang w:eastAsia="es-ES"/>
        </w:rPr>
      </w:pPr>
      <w:r w:rsidRPr="00C04C4B">
        <w:rPr>
          <w:rFonts w:ascii="Garamond" w:eastAsia="Arial" w:hAnsi="Garamond" w:cs="Arial"/>
          <w:lang w:eastAsia="es-ES"/>
        </w:rPr>
        <w:t xml:space="preserve">El “Formato 7B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7B – Incorporación de Componente Nacional en Servicios Extranjeros”, diligencie el “Formato 7A – Promoción de Servicios Nacionales o con Trato Nacional”, no habrá lugar a otorgar puntaje por el factor del numeral 4.4.1. del Pliego de Condiciones ni por el regulado en este numeral. </w:t>
      </w:r>
    </w:p>
    <w:p w14:paraId="59904335" w14:textId="77777777" w:rsidR="00C04C4B" w:rsidRPr="00C04C4B" w:rsidRDefault="00C04C4B" w:rsidP="00C04C4B">
      <w:pPr>
        <w:spacing w:after="200"/>
        <w:jc w:val="both"/>
        <w:rPr>
          <w:rFonts w:ascii="Garamond" w:eastAsia="Arial" w:hAnsi="Garamond" w:cs="Arial"/>
          <w:lang w:eastAsia="es-ES"/>
        </w:rPr>
      </w:pPr>
      <w:r w:rsidRPr="00C04C4B">
        <w:rPr>
          <w:rFonts w:ascii="Garamond" w:eastAsia="Arial" w:hAnsi="Garamond" w:cs="Arial"/>
          <w:lang w:eastAsia="es-ES"/>
        </w:rPr>
        <w:t>En caso de no efectuar ningún ofrecimiento, el puntaje por este factor será de cero (0).</w:t>
      </w:r>
    </w:p>
    <w:p w14:paraId="0E6F2FF5" w14:textId="328C3794" w:rsidR="00C04C4B" w:rsidRPr="00C04C4B" w:rsidRDefault="00C04C4B" w:rsidP="00A23238">
      <w:pPr>
        <w:pStyle w:val="Capitulo1"/>
        <w:numPr>
          <w:ilvl w:val="2"/>
          <w:numId w:val="54"/>
        </w:numPr>
        <w:tabs>
          <w:tab w:val="left" w:pos="851"/>
        </w:tabs>
        <w:spacing w:line="240" w:lineRule="auto"/>
        <w:jc w:val="both"/>
        <w:rPr>
          <w:rFonts w:ascii="Garamond" w:eastAsia="Arial" w:hAnsi="Garamond"/>
          <w:color w:val="auto"/>
          <w:sz w:val="22"/>
          <w:szCs w:val="22"/>
        </w:rPr>
      </w:pPr>
      <w:bookmarkStart w:id="758" w:name="_Toc35616441"/>
      <w:bookmarkStart w:id="759" w:name="_Toc35616768"/>
      <w:bookmarkStart w:id="760" w:name="_Toc36796908"/>
      <w:bookmarkStart w:id="761" w:name="_Toc36797145"/>
      <w:bookmarkStart w:id="762" w:name="_Toc36797380"/>
      <w:bookmarkStart w:id="763" w:name="_Toc35616442"/>
      <w:bookmarkStart w:id="764" w:name="_Toc35616769"/>
      <w:bookmarkStart w:id="765" w:name="_Toc36796909"/>
      <w:bookmarkStart w:id="766" w:name="_Toc36797146"/>
      <w:bookmarkStart w:id="767" w:name="_Toc36797381"/>
      <w:bookmarkStart w:id="768" w:name="_Toc35616443"/>
      <w:bookmarkStart w:id="769" w:name="_Toc35616770"/>
      <w:bookmarkStart w:id="770" w:name="_Toc36796910"/>
      <w:bookmarkStart w:id="771" w:name="_Toc36797147"/>
      <w:bookmarkStart w:id="772" w:name="_Toc36797382"/>
      <w:bookmarkStart w:id="773" w:name="_Toc35616453"/>
      <w:bookmarkStart w:id="774" w:name="_Toc35616780"/>
      <w:bookmarkStart w:id="775" w:name="_Toc36796920"/>
      <w:bookmarkStart w:id="776" w:name="_Toc36797157"/>
      <w:bookmarkStart w:id="777" w:name="_Toc36797392"/>
      <w:bookmarkStart w:id="778" w:name="_Toc35616454"/>
      <w:bookmarkStart w:id="779" w:name="_Toc35616781"/>
      <w:bookmarkStart w:id="780" w:name="_Toc36796921"/>
      <w:bookmarkStart w:id="781" w:name="_Toc36797158"/>
      <w:bookmarkStart w:id="782" w:name="_Toc36797393"/>
      <w:bookmarkStart w:id="783" w:name="_Toc35616455"/>
      <w:bookmarkStart w:id="784" w:name="_Toc35616782"/>
      <w:bookmarkStart w:id="785" w:name="_Toc36796922"/>
      <w:bookmarkStart w:id="786" w:name="_Toc36797159"/>
      <w:bookmarkStart w:id="787" w:name="_Toc36797394"/>
      <w:bookmarkStart w:id="788" w:name="_Toc35616456"/>
      <w:bookmarkStart w:id="789" w:name="_Toc35616783"/>
      <w:bookmarkStart w:id="790" w:name="_Toc36796923"/>
      <w:bookmarkStart w:id="791" w:name="_Toc36797160"/>
      <w:bookmarkStart w:id="792" w:name="_Toc36797395"/>
      <w:bookmarkStart w:id="793" w:name="_Toc35616457"/>
      <w:bookmarkStart w:id="794" w:name="_Toc35616784"/>
      <w:bookmarkStart w:id="795" w:name="_Toc36796924"/>
      <w:bookmarkStart w:id="796" w:name="_Toc36797161"/>
      <w:bookmarkStart w:id="797" w:name="_Toc36797396"/>
      <w:bookmarkStart w:id="798" w:name="_Toc35616458"/>
      <w:bookmarkStart w:id="799" w:name="_Toc35616785"/>
      <w:bookmarkStart w:id="800" w:name="_Toc36796925"/>
      <w:bookmarkStart w:id="801" w:name="_Toc36797162"/>
      <w:bookmarkStart w:id="802" w:name="_Toc36797397"/>
      <w:bookmarkStart w:id="803" w:name="_Toc35616459"/>
      <w:bookmarkStart w:id="804" w:name="_Toc35616786"/>
      <w:bookmarkStart w:id="805" w:name="_Toc36796926"/>
      <w:bookmarkStart w:id="806" w:name="_Toc36797163"/>
      <w:bookmarkStart w:id="807" w:name="_Toc36797398"/>
      <w:bookmarkStart w:id="808" w:name="_Toc35616460"/>
      <w:bookmarkStart w:id="809" w:name="_Toc35616787"/>
      <w:bookmarkStart w:id="810" w:name="_Toc36796927"/>
      <w:bookmarkStart w:id="811" w:name="_Toc36797164"/>
      <w:bookmarkStart w:id="812" w:name="_Toc36797399"/>
      <w:bookmarkStart w:id="813" w:name="_Toc35616461"/>
      <w:bookmarkStart w:id="814" w:name="_Toc35616788"/>
      <w:bookmarkStart w:id="815" w:name="_Toc36796928"/>
      <w:bookmarkStart w:id="816" w:name="_Toc36797165"/>
      <w:bookmarkStart w:id="817" w:name="_Toc36797400"/>
      <w:bookmarkStart w:id="818" w:name="_Toc35616462"/>
      <w:bookmarkStart w:id="819" w:name="_Toc35616789"/>
      <w:bookmarkStart w:id="820" w:name="_Toc36796929"/>
      <w:bookmarkStart w:id="821" w:name="_Toc36797166"/>
      <w:bookmarkStart w:id="822" w:name="_Toc36797401"/>
      <w:bookmarkStart w:id="823" w:name="_Toc35616463"/>
      <w:bookmarkStart w:id="824" w:name="_Toc35616790"/>
      <w:bookmarkStart w:id="825" w:name="_Toc36796930"/>
      <w:bookmarkStart w:id="826" w:name="_Toc36797167"/>
      <w:bookmarkStart w:id="827" w:name="_Toc36797402"/>
      <w:bookmarkStart w:id="828" w:name="_Toc35616479"/>
      <w:bookmarkStart w:id="829" w:name="_Toc35616806"/>
      <w:bookmarkStart w:id="830" w:name="_Toc36796946"/>
      <w:bookmarkStart w:id="831" w:name="_Toc36797183"/>
      <w:bookmarkStart w:id="832" w:name="_Toc36797418"/>
      <w:bookmarkStart w:id="833" w:name="_Toc35616480"/>
      <w:bookmarkStart w:id="834" w:name="_Toc35616807"/>
      <w:bookmarkStart w:id="835" w:name="_Toc36796947"/>
      <w:bookmarkStart w:id="836" w:name="_Toc36797184"/>
      <w:bookmarkStart w:id="837" w:name="_Toc36797419"/>
      <w:bookmarkStart w:id="838" w:name="_Toc35616481"/>
      <w:bookmarkStart w:id="839" w:name="_Toc35616808"/>
      <w:bookmarkStart w:id="840" w:name="_Toc36796948"/>
      <w:bookmarkStart w:id="841" w:name="_Toc36797185"/>
      <w:bookmarkStart w:id="842" w:name="_Toc36797420"/>
      <w:bookmarkStart w:id="843" w:name="_Toc35616482"/>
      <w:bookmarkStart w:id="844" w:name="_Toc35616809"/>
      <w:bookmarkStart w:id="845" w:name="_Toc36796949"/>
      <w:bookmarkStart w:id="846" w:name="_Toc36797186"/>
      <w:bookmarkStart w:id="847" w:name="_Toc36797421"/>
      <w:bookmarkStart w:id="848" w:name="_Toc35616483"/>
      <w:bookmarkStart w:id="849" w:name="_Toc35616810"/>
      <w:bookmarkStart w:id="850" w:name="_Toc36796950"/>
      <w:bookmarkStart w:id="851" w:name="_Toc36797187"/>
      <w:bookmarkStart w:id="852" w:name="_Toc36797422"/>
      <w:bookmarkStart w:id="853" w:name="_Toc511029848"/>
      <w:bookmarkStart w:id="854" w:name="_Toc511375689"/>
      <w:bookmarkStart w:id="855" w:name="_Toc511375867"/>
      <w:bookmarkStart w:id="856" w:name="_Toc511380007"/>
      <w:bookmarkStart w:id="857" w:name="_Toc511383000"/>
      <w:bookmarkStart w:id="858" w:name="_Toc511400622"/>
      <w:bookmarkStart w:id="859" w:name="_Toc511401260"/>
      <w:bookmarkStart w:id="860" w:name="_Toc508648280"/>
      <w:bookmarkStart w:id="861" w:name="_Toc508984064"/>
      <w:bookmarkStart w:id="862" w:name="_Toc511924803"/>
      <w:bookmarkStart w:id="863" w:name="_Toc520226892"/>
      <w:bookmarkStart w:id="864" w:name="_Toc520297862"/>
      <w:bookmarkStart w:id="865" w:name="_Toc520317127"/>
      <w:bookmarkStart w:id="866" w:name="_Toc533083730"/>
      <w:bookmarkStart w:id="867" w:name="_Toc35616484"/>
      <w:bookmarkStart w:id="868" w:name="_Toc40113371"/>
      <w:bookmarkStart w:id="869" w:name="_Toc108082932"/>
      <w:bookmarkStart w:id="870" w:name="_Toc215132462"/>
      <w:bookmarkStart w:id="871" w:name="_Toc509843895"/>
      <w:bookmarkEnd w:id="742"/>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r w:rsidRPr="00C04C4B">
        <w:rPr>
          <w:rFonts w:ascii="Garamond" w:eastAsia="Arial" w:hAnsi="Garamond"/>
          <w:color w:val="auto"/>
          <w:sz w:val="22"/>
          <w:szCs w:val="22"/>
        </w:rPr>
        <w:t>VINCULACIÓN DE PERSONAS EN CONDICIÓN DE DISCAPACIDAD</w:t>
      </w:r>
      <w:bookmarkEnd w:id="860"/>
      <w:bookmarkEnd w:id="861"/>
      <w:bookmarkEnd w:id="862"/>
      <w:bookmarkEnd w:id="863"/>
      <w:bookmarkEnd w:id="864"/>
      <w:bookmarkEnd w:id="865"/>
      <w:bookmarkEnd w:id="866"/>
      <w:bookmarkEnd w:id="867"/>
      <w:bookmarkEnd w:id="868"/>
      <w:bookmarkEnd w:id="869"/>
      <w:bookmarkEnd w:id="870"/>
      <w:r w:rsidRPr="00C04C4B">
        <w:rPr>
          <w:rFonts w:ascii="Garamond" w:eastAsia="Arial" w:hAnsi="Garamond"/>
          <w:color w:val="auto"/>
          <w:sz w:val="22"/>
          <w:szCs w:val="22"/>
        </w:rPr>
        <w:t xml:space="preserve"> </w:t>
      </w:r>
      <w:bookmarkEnd w:id="871"/>
    </w:p>
    <w:p w14:paraId="5A8F8C77" w14:textId="77777777" w:rsidR="00C04C4B" w:rsidRPr="00C04C4B" w:rsidRDefault="00C04C4B" w:rsidP="00C04C4B">
      <w:pPr>
        <w:jc w:val="both"/>
        <w:rPr>
          <w:rFonts w:ascii="Garamond" w:eastAsia="Arial" w:hAnsi="Garamond" w:cs="Arial"/>
          <w:lang w:eastAsia="es-ES"/>
        </w:rPr>
      </w:pPr>
      <w:r w:rsidRPr="00C04C4B">
        <w:rPr>
          <w:rFonts w:ascii="Garamond" w:eastAsia="Arial" w:hAnsi="Garamond" w:cs="Arial"/>
          <w:lang w:eastAsia="es-ES"/>
        </w:rPr>
        <w:t xml:space="preserve">La Entidad asignará un (1) punto al Proponente que acredite el número mínimo de personas en condición de discapacidad, de acuerdo con el número total de trabajadores de la planta de su personal, en los términos señalados en el artículo 2.2.1.2.4.2.6. del Decreto 1082 de 2015. </w:t>
      </w:r>
    </w:p>
    <w:p w14:paraId="500C8F7D" w14:textId="77777777" w:rsidR="00C04C4B" w:rsidRPr="00C04C4B" w:rsidRDefault="00C04C4B" w:rsidP="00C04C4B">
      <w:pPr>
        <w:jc w:val="both"/>
        <w:rPr>
          <w:rFonts w:ascii="Garamond" w:eastAsia="Arial" w:hAnsi="Garamond" w:cs="Arial"/>
          <w:lang w:eastAsia="es-ES"/>
        </w:rPr>
      </w:pPr>
    </w:p>
    <w:p w14:paraId="0CE99B96" w14:textId="77777777" w:rsidR="00C04C4B" w:rsidRPr="00C04C4B" w:rsidRDefault="00C04C4B" w:rsidP="00C04C4B">
      <w:pPr>
        <w:jc w:val="both"/>
        <w:rPr>
          <w:rFonts w:ascii="Garamond" w:eastAsia="Arial" w:hAnsi="Garamond" w:cs="Arial"/>
          <w:lang w:eastAsia="es-ES"/>
        </w:rPr>
      </w:pPr>
      <w:r w:rsidRPr="00C04C4B">
        <w:rPr>
          <w:rFonts w:ascii="Garamond" w:eastAsia="Arial" w:hAnsi="Garamond" w:cs="Arial"/>
          <w:lang w:eastAsia="es-ES"/>
        </w:rPr>
        <w:t>Para esto debe: i) diligenciar el “</w:t>
      </w:r>
      <w:r w:rsidRPr="00C04C4B">
        <w:rPr>
          <w:rFonts w:ascii="Garamond" w:eastAsia="Arial" w:hAnsi="Garamond" w:cs="Arial"/>
          <w:lang w:eastAsia="es-ES"/>
        </w:rPr>
        <w:fldChar w:fldCharType="begin"/>
      </w:r>
      <w:r w:rsidRPr="00C04C4B">
        <w:rPr>
          <w:rFonts w:ascii="Garamond" w:eastAsia="Arial" w:hAnsi="Garamond" w:cs="Arial"/>
          <w:lang w:eastAsia="es-ES"/>
        </w:rPr>
        <w:instrText xml:space="preserve"> REF _Ref508650486 \h  \* MERGEFORMAT </w:instrText>
      </w:r>
      <w:r w:rsidRPr="00C04C4B">
        <w:rPr>
          <w:rFonts w:ascii="Garamond" w:eastAsia="Arial" w:hAnsi="Garamond" w:cs="Arial"/>
          <w:lang w:eastAsia="es-ES"/>
        </w:rPr>
      </w:r>
      <w:r w:rsidRPr="00C04C4B">
        <w:rPr>
          <w:rFonts w:ascii="Garamond" w:eastAsia="Arial" w:hAnsi="Garamond" w:cs="Arial"/>
          <w:lang w:eastAsia="es-ES"/>
        </w:rPr>
        <w:fldChar w:fldCharType="separate"/>
      </w:r>
      <w:r w:rsidRPr="00C04C4B">
        <w:rPr>
          <w:rFonts w:ascii="Garamond" w:eastAsia="Arial" w:hAnsi="Garamond" w:cs="Arial"/>
          <w:lang w:eastAsia="es-ES"/>
        </w:rPr>
        <w:t>Formato 6 – Vinculación de personas en condición de discapacidad</w:t>
      </w:r>
      <w:r w:rsidRPr="00C04C4B">
        <w:rPr>
          <w:rFonts w:ascii="Garamond" w:eastAsia="Arial" w:hAnsi="Garamond" w:cs="Arial"/>
          <w:lang w:eastAsia="es-ES"/>
        </w:rPr>
        <w:fldChar w:fldCharType="end"/>
      </w:r>
      <w:r w:rsidRPr="00C04C4B">
        <w:rPr>
          <w:rFonts w:ascii="Garamond" w:eastAsia="Arial" w:hAnsi="Garamond" w:cs="Arial"/>
          <w:lang w:eastAsia="es-ES"/>
        </w:rPr>
        <w:t xml:space="preserve"> suscrito por la persona natural, el representante legal o el revisor fiscal, según corresponda, en el cual certifique el número </w:t>
      </w:r>
      <w:r w:rsidRPr="00C04C4B">
        <w:rPr>
          <w:rFonts w:ascii="Garamond" w:eastAsia="Arial" w:hAnsi="Garamond" w:cs="Arial"/>
          <w:lang w:eastAsia="es-ES"/>
        </w:rPr>
        <w:lastRenderedPageBreak/>
        <w:t xml:space="preserve">total de trabajadores vinculados a la planta de personal del Proponente, o el integrante del Proponente Plural, a la fecha de cierre del Proceso de Contratación, </w:t>
      </w:r>
      <w:proofErr w:type="spellStart"/>
      <w:r w:rsidRPr="00C04C4B">
        <w:rPr>
          <w:rFonts w:ascii="Garamond" w:eastAsia="Arial" w:hAnsi="Garamond" w:cs="Arial"/>
          <w:lang w:eastAsia="es-ES"/>
        </w:rPr>
        <w:t>ii</w:t>
      </w:r>
      <w:proofErr w:type="spellEnd"/>
      <w:r w:rsidRPr="00C04C4B">
        <w:rPr>
          <w:rFonts w:ascii="Garamond" w:eastAsia="Arial" w:hAnsi="Garamond" w:cs="Arial"/>
          <w:lang w:eastAsia="es-ES"/>
        </w:rPr>
        <w:t>) acreditar el número mínimo de personas en condición de  discapacidad en su planta de personal, de conformidad con lo señalado en el certificado expedido por el Ministerio de Trabajo, el cual deberá estar vigente a la fecha de cierre del Proceso de Contratación.</w:t>
      </w:r>
    </w:p>
    <w:p w14:paraId="79026F8D" w14:textId="77777777" w:rsidR="00C04C4B" w:rsidRPr="00C04C4B" w:rsidRDefault="00C04C4B" w:rsidP="00C04C4B">
      <w:pPr>
        <w:jc w:val="both"/>
        <w:rPr>
          <w:rFonts w:ascii="Garamond" w:eastAsia="Arial" w:hAnsi="Garamond" w:cs="Arial"/>
          <w:lang w:eastAsia="es-ES"/>
        </w:rPr>
      </w:pPr>
    </w:p>
    <w:p w14:paraId="6D7E7EEA" w14:textId="77777777" w:rsidR="00C04C4B" w:rsidRPr="00C04C4B" w:rsidRDefault="00C04C4B" w:rsidP="00C04C4B">
      <w:pPr>
        <w:jc w:val="both"/>
        <w:rPr>
          <w:rFonts w:ascii="Garamond" w:eastAsia="Arial" w:hAnsi="Garamond" w:cs="Arial"/>
          <w:lang w:eastAsia="es-ES"/>
        </w:rPr>
      </w:pPr>
      <w:r w:rsidRPr="00C04C4B">
        <w:rPr>
          <w:rFonts w:ascii="Garamond" w:eastAsia="Arial" w:hAnsi="Garamond" w:cs="Arial"/>
          <w:lang w:eastAsia="es-ES"/>
        </w:rPr>
        <w:t xml:space="preserve">Para los Proponentes Plurales, la Entidad tendrá en cuenta la planta de personal del integrante del Proponente Plural que aporte como mínimo el cuarenta por ciento (40 %) de la experiencia requerida para el Proceso de Contratación. Este porcentaje de experiencia se tomará sobre el “Valor mínimo a certificar (como % del Presupuesto Oficial expresado en </w:t>
      </w:r>
      <w:proofErr w:type="spellStart"/>
      <w:r w:rsidRPr="00C04C4B">
        <w:rPr>
          <w:rFonts w:ascii="Garamond" w:eastAsia="Arial" w:hAnsi="Garamond" w:cs="Arial"/>
          <w:lang w:eastAsia="es-ES"/>
        </w:rPr>
        <w:t>SMMLV</w:t>
      </w:r>
      <w:proofErr w:type="spellEnd"/>
      <w:r w:rsidRPr="00C04C4B">
        <w:rPr>
          <w:rFonts w:ascii="Garamond" w:eastAsia="Arial" w:hAnsi="Garamond" w:cs="Arial"/>
          <w:lang w:eastAsia="es-ES"/>
        </w:rPr>
        <w:t>)” de conformidad con el numeral 3.9.1 del Pliego de Condiciones, sin importar si la experiencia es general o específica.</w:t>
      </w:r>
    </w:p>
    <w:p w14:paraId="28D7B93E" w14:textId="77777777" w:rsidR="00C04C4B" w:rsidRPr="00C04C4B" w:rsidRDefault="00C04C4B" w:rsidP="00C04C4B">
      <w:pPr>
        <w:jc w:val="both"/>
        <w:rPr>
          <w:rFonts w:ascii="Garamond" w:eastAsia="Arial" w:hAnsi="Garamond" w:cs="Arial"/>
        </w:rPr>
      </w:pPr>
    </w:p>
    <w:p w14:paraId="76EA3817" w14:textId="77777777" w:rsidR="00C04C4B" w:rsidRPr="00C04C4B" w:rsidRDefault="00C04C4B" w:rsidP="00C04C4B">
      <w:pPr>
        <w:jc w:val="both"/>
        <w:rPr>
          <w:rFonts w:ascii="Garamond" w:eastAsia="Arial" w:hAnsi="Garamond"/>
          <w:lang w:eastAsia="es-ES"/>
        </w:rPr>
      </w:pPr>
      <w:r w:rsidRPr="00C04C4B">
        <w:rPr>
          <w:rFonts w:ascii="Garamond" w:eastAsia="Arial" w:hAnsi="Garamond" w:cs="Arial"/>
          <w:lang w:eastAsia="es-ES"/>
        </w:rPr>
        <w:t xml:space="preserve">Tratándose de los Proponentes Plurales, el “Formato 6 – Vinculación de personas en condición de discapacidad” </w:t>
      </w:r>
      <w:r w:rsidRPr="00C04C4B">
        <w:rPr>
          <w:rFonts w:ascii="Garamond" w:eastAsia="Arial" w:hAnsi="Garamond" w:cs="Arial"/>
        </w:rPr>
        <w:t>debe suscribirlo el integrante del Proponente Plural, ya sea el representante legal o revisor fiscal, según corresponda, de la persona jurídica o la persona natural, siempre que dicho integrante aporte como mínimo el cuarenta por ciento (40 %) de la experiencia requerida para el Proceso de Contratación, y que además vincule el mínimo de trabajadores con discapacidad exigido en el Decreto 1082 de 2015.</w:t>
      </w:r>
      <w:bookmarkStart w:id="872" w:name="_Toc35616485"/>
      <w:bookmarkStart w:id="873" w:name="_Toc35616812"/>
      <w:bookmarkStart w:id="874" w:name="_Toc36796952"/>
      <w:bookmarkStart w:id="875" w:name="_Toc36797189"/>
      <w:bookmarkStart w:id="876" w:name="_Toc36797424"/>
      <w:bookmarkStart w:id="877" w:name="_Toc35616486"/>
      <w:bookmarkStart w:id="878" w:name="_Toc35616813"/>
      <w:bookmarkStart w:id="879" w:name="_Toc36796953"/>
      <w:bookmarkStart w:id="880" w:name="_Toc36797190"/>
      <w:bookmarkStart w:id="881" w:name="_Toc36797425"/>
      <w:bookmarkStart w:id="882" w:name="_Toc35616487"/>
      <w:bookmarkStart w:id="883" w:name="_Toc35616814"/>
      <w:bookmarkStart w:id="884" w:name="_Toc36796954"/>
      <w:bookmarkStart w:id="885" w:name="_Toc36797191"/>
      <w:bookmarkStart w:id="886" w:name="_Toc36797426"/>
      <w:bookmarkEnd w:id="716"/>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1276CFE1" w14:textId="77777777" w:rsidR="00C04C4B" w:rsidRPr="00C04C4B" w:rsidRDefault="00C04C4B" w:rsidP="00C04C4B">
      <w:pPr>
        <w:jc w:val="both"/>
        <w:rPr>
          <w:rFonts w:ascii="Garamond" w:eastAsia="Arial" w:hAnsi="Garamond"/>
          <w:b/>
          <w:bCs/>
          <w:lang w:eastAsia="es-ES"/>
        </w:rPr>
      </w:pPr>
    </w:p>
    <w:p w14:paraId="7311B896" w14:textId="2563EE9C" w:rsidR="00C04C4B" w:rsidRPr="00C04C4B" w:rsidRDefault="00C04C4B" w:rsidP="00A23238">
      <w:pPr>
        <w:pStyle w:val="Capitulo1"/>
        <w:numPr>
          <w:ilvl w:val="2"/>
          <w:numId w:val="54"/>
        </w:numPr>
        <w:tabs>
          <w:tab w:val="left" w:pos="851"/>
        </w:tabs>
        <w:spacing w:line="240" w:lineRule="auto"/>
        <w:jc w:val="both"/>
        <w:rPr>
          <w:rFonts w:ascii="Garamond" w:eastAsia="Arial" w:hAnsi="Garamond"/>
          <w:color w:val="auto"/>
          <w:sz w:val="22"/>
          <w:szCs w:val="22"/>
        </w:rPr>
      </w:pPr>
      <w:bookmarkStart w:id="887" w:name="_Toc108082933"/>
      <w:bookmarkStart w:id="888" w:name="_Toc215132463"/>
      <w:bookmarkStart w:id="889" w:name="_Toc508648281"/>
      <w:bookmarkStart w:id="890" w:name="_Toc508984065"/>
      <w:bookmarkStart w:id="891" w:name="_Toc509843896"/>
      <w:bookmarkStart w:id="892" w:name="_Toc511924804"/>
      <w:bookmarkStart w:id="893" w:name="_Toc520226893"/>
      <w:bookmarkStart w:id="894" w:name="_Toc520297863"/>
      <w:bookmarkStart w:id="895" w:name="_Toc520317128"/>
      <w:bookmarkStart w:id="896" w:name="_Toc533083731"/>
      <w:bookmarkStart w:id="897" w:name="_Toc35616488"/>
      <w:bookmarkStart w:id="898" w:name="_Toc40113372"/>
      <w:bookmarkStart w:id="899" w:name="_Hlk517181000"/>
      <w:r w:rsidRPr="00C04C4B">
        <w:rPr>
          <w:rFonts w:ascii="Garamond" w:eastAsia="Arial" w:hAnsi="Garamond"/>
          <w:color w:val="auto"/>
          <w:sz w:val="22"/>
          <w:szCs w:val="22"/>
        </w:rPr>
        <w:t>EMPRENDIMIENTOS Y EMPRESAS DE MUJERES</w:t>
      </w:r>
      <w:bookmarkEnd w:id="887"/>
      <w:bookmarkEnd w:id="888"/>
    </w:p>
    <w:p w14:paraId="09E34822" w14:textId="77777777" w:rsidR="00C04C4B" w:rsidRPr="00C04C4B" w:rsidRDefault="00C04C4B" w:rsidP="00C04C4B">
      <w:pPr>
        <w:jc w:val="both"/>
        <w:rPr>
          <w:rFonts w:ascii="Garamond" w:eastAsiaTheme="minorEastAsia" w:hAnsi="Garamond" w:cstheme="minorBidi"/>
          <w:b/>
          <w:bCs/>
          <w:lang w:eastAsia="es-ES"/>
        </w:rPr>
      </w:pPr>
    </w:p>
    <w:p w14:paraId="6F52FAB8" w14:textId="77777777" w:rsidR="00C04C4B" w:rsidRPr="00C04C4B" w:rsidRDefault="00C04C4B" w:rsidP="00C04C4B">
      <w:pPr>
        <w:jc w:val="both"/>
        <w:rPr>
          <w:rFonts w:ascii="Garamond" w:eastAsia="Arial" w:hAnsi="Garamond" w:cs="Arial"/>
        </w:rPr>
      </w:pPr>
      <w:r w:rsidRPr="00C04C4B">
        <w:rPr>
          <w:rFonts w:ascii="Garamond" w:eastAsia="Arial" w:hAnsi="Garamond" w:cs="Arial"/>
        </w:rPr>
        <w:t>La Entidad asignará un puntaje de cero punto veinticinco (0.25) puntos al Proponente que acredite la calidad de emprendimientos y empresas de mujeres con domicilio en el territorio nacional de conformidad con lo previsto en el artículo 2.2.1.2.4.2.14. del Decreto 1082 de 2015 o la norma que lo modifique, sustituya o complemente.</w:t>
      </w:r>
    </w:p>
    <w:p w14:paraId="5D6951CA" w14:textId="77777777" w:rsidR="00C04C4B" w:rsidRPr="00C04C4B" w:rsidRDefault="00C04C4B" w:rsidP="00C04C4B">
      <w:pPr>
        <w:jc w:val="both"/>
        <w:rPr>
          <w:rFonts w:ascii="Garamond" w:eastAsia="Arial" w:hAnsi="Garamond" w:cs="Arial"/>
        </w:rPr>
      </w:pPr>
    </w:p>
    <w:p w14:paraId="2C73906B" w14:textId="77777777" w:rsidR="00C04C4B" w:rsidRPr="00C04C4B" w:rsidRDefault="00C04C4B" w:rsidP="00C04C4B">
      <w:pPr>
        <w:jc w:val="both"/>
        <w:rPr>
          <w:rFonts w:ascii="Garamond" w:eastAsia="Arial" w:hAnsi="Garamond" w:cs="Arial"/>
        </w:rPr>
      </w:pPr>
      <w:r w:rsidRPr="00C04C4B">
        <w:rPr>
          <w:rFonts w:ascii="Garamond" w:eastAsia="Arial" w:hAnsi="Garamond" w:cs="Arial"/>
        </w:rPr>
        <w:t xml:space="preserve">Para que el Proponente obtenga este puntaje debe diligenciar el “Formato 13 – Acreditación de emprendimientos y empresas de mujeres” y aportar la documentación requerida. 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factor de evaluación. </w:t>
      </w:r>
    </w:p>
    <w:p w14:paraId="68783122" w14:textId="77777777" w:rsidR="00C04C4B" w:rsidRPr="00C04C4B" w:rsidRDefault="00C04C4B" w:rsidP="00C04C4B">
      <w:pPr>
        <w:jc w:val="both"/>
        <w:rPr>
          <w:rFonts w:ascii="Garamond" w:eastAsia="Arial" w:hAnsi="Garamond" w:cs="Arial"/>
        </w:rPr>
      </w:pPr>
    </w:p>
    <w:p w14:paraId="6601E481" w14:textId="77777777" w:rsidR="00C04C4B" w:rsidRPr="00C04C4B" w:rsidRDefault="00C04C4B" w:rsidP="00C04C4B">
      <w:pPr>
        <w:jc w:val="both"/>
        <w:rPr>
          <w:rFonts w:ascii="Garamond" w:eastAsia="Arial" w:hAnsi="Garamond" w:cs="Arial"/>
        </w:rPr>
      </w:pPr>
      <w:r w:rsidRPr="00C04C4B">
        <w:rPr>
          <w:rFonts w:ascii="Garamond" w:eastAsia="Arial" w:hAnsi="Garamond" w:cs="Arial"/>
        </w:rPr>
        <w:t>Tratándose de Proponentes Plurales, este puntaje solo se otorgará si por lo menos uno de los integrantes acredita la calidad de emprendimientos y empresas de mujeres y tiene una participación igual o superior al diez por ciento (10 %) en el Consorcio o en la Unión Temporal.</w:t>
      </w:r>
    </w:p>
    <w:p w14:paraId="71A80C11" w14:textId="77777777" w:rsidR="00C04C4B" w:rsidRPr="00C04C4B" w:rsidRDefault="00C04C4B" w:rsidP="00C04C4B">
      <w:pPr>
        <w:jc w:val="both"/>
        <w:rPr>
          <w:rFonts w:ascii="Garamond" w:eastAsia="Arial" w:hAnsi="Garamond" w:cs="Arial"/>
        </w:rPr>
      </w:pPr>
    </w:p>
    <w:p w14:paraId="56E3D4E5" w14:textId="77777777" w:rsidR="00C04C4B" w:rsidRPr="00C04C4B" w:rsidRDefault="00C04C4B" w:rsidP="00C04C4B">
      <w:pPr>
        <w:jc w:val="both"/>
        <w:rPr>
          <w:rFonts w:ascii="Garamond" w:eastAsia="Arial" w:hAnsi="Garamond" w:cs="Arial"/>
        </w:rPr>
      </w:pPr>
      <w:r w:rsidRPr="00C04C4B">
        <w:rPr>
          <w:rFonts w:ascii="Garamond" w:eastAsia="Arial" w:hAnsi="Garamond" w:cs="Arial"/>
        </w:rPr>
        <w:t xml:space="preserve">La asignación de este puntaje no excluye la aplicación del puntaje para </w:t>
      </w:r>
      <w:proofErr w:type="spellStart"/>
      <w:r w:rsidRPr="00C04C4B">
        <w:rPr>
          <w:rFonts w:ascii="Garamond" w:eastAsia="Arial" w:hAnsi="Garamond" w:cs="Arial"/>
        </w:rPr>
        <w:t>Mipyme</w:t>
      </w:r>
      <w:proofErr w:type="spellEnd"/>
      <w:r w:rsidRPr="00C04C4B">
        <w:rPr>
          <w:rFonts w:ascii="Garamond" w:eastAsia="Arial" w:hAnsi="Garamond" w:cs="Arial"/>
        </w:rPr>
        <w:t>.</w:t>
      </w:r>
    </w:p>
    <w:p w14:paraId="7D6B449B" w14:textId="77777777" w:rsidR="00C04C4B" w:rsidRPr="00C04C4B" w:rsidRDefault="00C04C4B" w:rsidP="00C04C4B">
      <w:pPr>
        <w:jc w:val="both"/>
        <w:rPr>
          <w:rFonts w:ascii="Garamond" w:eastAsia="Arial" w:hAnsi="Garamond"/>
        </w:rPr>
      </w:pPr>
    </w:p>
    <w:p w14:paraId="1733F256" w14:textId="56779371" w:rsidR="00C04C4B" w:rsidRPr="00C04C4B" w:rsidRDefault="00C04C4B" w:rsidP="00A23238">
      <w:pPr>
        <w:pStyle w:val="Capitulo1"/>
        <w:numPr>
          <w:ilvl w:val="2"/>
          <w:numId w:val="54"/>
        </w:numPr>
        <w:tabs>
          <w:tab w:val="left" w:pos="851"/>
        </w:tabs>
        <w:spacing w:line="240" w:lineRule="auto"/>
        <w:jc w:val="both"/>
        <w:rPr>
          <w:rFonts w:ascii="Garamond" w:eastAsia="Arial" w:hAnsi="Garamond"/>
          <w:color w:val="auto"/>
          <w:sz w:val="22"/>
          <w:szCs w:val="22"/>
        </w:rPr>
      </w:pPr>
      <w:bookmarkStart w:id="900" w:name="_Toc108082934"/>
      <w:bookmarkStart w:id="901" w:name="_Toc215132464"/>
      <w:r w:rsidRPr="00C04C4B">
        <w:rPr>
          <w:rFonts w:ascii="Garamond" w:eastAsia="Arial" w:hAnsi="Garamond"/>
          <w:color w:val="auto"/>
          <w:sz w:val="22"/>
          <w:szCs w:val="22"/>
        </w:rPr>
        <w:t>MIPYME DOMICILIADA EN COLOMBIA</w:t>
      </w:r>
      <w:bookmarkEnd w:id="900"/>
      <w:bookmarkEnd w:id="901"/>
    </w:p>
    <w:p w14:paraId="3EE482D1" w14:textId="6C9C64E5" w:rsidR="00C04C4B" w:rsidRDefault="00C04C4B" w:rsidP="00C04C4B">
      <w:pPr>
        <w:jc w:val="both"/>
        <w:rPr>
          <w:rFonts w:ascii="Garamond" w:hAnsi="Garamond" w:cs="Arial"/>
          <w:lang w:val="es-ES"/>
        </w:rPr>
      </w:pPr>
      <w:r w:rsidRPr="00D65841">
        <w:rPr>
          <w:rFonts w:ascii="Garamond" w:hAnsi="Garamond" w:cs="Arial"/>
          <w:lang w:val="es-ES"/>
        </w:rPr>
        <w:t xml:space="preserve">[En las convocatorias limitadas a </w:t>
      </w:r>
      <w:proofErr w:type="spellStart"/>
      <w:r w:rsidRPr="00D65841">
        <w:rPr>
          <w:rFonts w:ascii="Garamond" w:hAnsi="Garamond" w:cs="Arial"/>
          <w:lang w:val="es-ES"/>
        </w:rPr>
        <w:t>Mipyme</w:t>
      </w:r>
      <w:proofErr w:type="spellEnd"/>
      <w:r w:rsidRPr="00D65841">
        <w:rPr>
          <w:rFonts w:ascii="Garamond" w:hAnsi="Garamond" w:cs="Arial"/>
          <w:lang w:val="es-ES"/>
        </w:rPr>
        <w:t xml:space="preserve"> no aplicará este puntaje adicional. En este caso, los puntos por este </w:t>
      </w:r>
      <w:r w:rsidRPr="00D65841">
        <w:rPr>
          <w:rFonts w:ascii="Garamond" w:hAnsi="Garamond" w:cs="Arial"/>
          <w:lang w:val="es-ES"/>
        </w:rPr>
        <w:lastRenderedPageBreak/>
        <w:t>concepto se trasladarán al puntaje de la Experiencia del Proponente.]</w:t>
      </w:r>
    </w:p>
    <w:p w14:paraId="46D79D14" w14:textId="77777777" w:rsidR="00D65841" w:rsidRPr="00C04C4B" w:rsidRDefault="00D65841" w:rsidP="00C04C4B">
      <w:pPr>
        <w:jc w:val="both"/>
        <w:rPr>
          <w:rFonts w:ascii="Garamond" w:hAnsi="Garamond"/>
          <w:b/>
          <w:bCs/>
          <w:lang w:val="es-ES"/>
        </w:rPr>
      </w:pPr>
    </w:p>
    <w:p w14:paraId="5F7B60E5" w14:textId="77777777" w:rsidR="00C04C4B" w:rsidRPr="00C04C4B" w:rsidRDefault="00C04C4B" w:rsidP="00C04C4B">
      <w:pPr>
        <w:jc w:val="both"/>
        <w:rPr>
          <w:rFonts w:ascii="Garamond" w:hAnsi="Garamond"/>
          <w:b/>
          <w:bCs/>
          <w:lang w:val="es-ES"/>
        </w:rPr>
      </w:pPr>
      <w:r w:rsidRPr="00C04C4B">
        <w:rPr>
          <w:rFonts w:ascii="Garamond" w:hAnsi="Garamond" w:cs="Arial"/>
          <w:lang w:val="es-ES"/>
        </w:rPr>
        <w:t xml:space="preserve">La Entidad otorgará un puntaje de cero punto veinticinco (0.25) puntos al Proponente que acredite la calidad de </w:t>
      </w:r>
      <w:proofErr w:type="spellStart"/>
      <w:r w:rsidRPr="00C04C4B">
        <w:rPr>
          <w:rFonts w:ascii="Garamond" w:hAnsi="Garamond" w:cs="Arial"/>
          <w:lang w:val="es-ES"/>
        </w:rPr>
        <w:t>Mipyme</w:t>
      </w:r>
      <w:proofErr w:type="spellEnd"/>
      <w:r w:rsidRPr="00C04C4B">
        <w:rPr>
          <w:rFonts w:ascii="Garamond" w:hAnsi="Garamond" w:cs="Arial"/>
          <w:lang w:val="es-ES"/>
        </w:rPr>
        <w:t xml:space="preserve"> domiciliada en Colombia, de conformidad con el artículo </w:t>
      </w:r>
      <w:r w:rsidRPr="00C04C4B">
        <w:rPr>
          <w:rFonts w:ascii="Garamond" w:hAnsi="Garamond" w:cs="Arial"/>
          <w:lang w:val="es-MX"/>
        </w:rPr>
        <w:t>2.2.1.2.4.2.4 del Decreto 1082 de 2015, en concordancia con el parágrafo del artículo 2.2.1.13.2.4 del Decreto 1074 de 2015, o la norma que lo modifique, complemente o sustituya.</w:t>
      </w:r>
    </w:p>
    <w:p w14:paraId="1B410A49" w14:textId="77777777" w:rsidR="00C04C4B" w:rsidRPr="00C04C4B" w:rsidRDefault="00C04C4B" w:rsidP="00C04C4B">
      <w:pPr>
        <w:jc w:val="both"/>
        <w:rPr>
          <w:rFonts w:ascii="Garamond" w:hAnsi="Garamond" w:cs="Arial"/>
          <w:lang w:val="es-ES"/>
        </w:rPr>
      </w:pPr>
    </w:p>
    <w:p w14:paraId="293444E0" w14:textId="77777777" w:rsidR="00C04C4B" w:rsidRPr="00C04C4B" w:rsidRDefault="00C04C4B" w:rsidP="00C04C4B">
      <w:pPr>
        <w:jc w:val="both"/>
        <w:rPr>
          <w:rFonts w:ascii="Garamond" w:hAnsi="Garamond"/>
        </w:rPr>
      </w:pPr>
      <w:r w:rsidRPr="00C04C4B">
        <w:rPr>
          <w:rFonts w:ascii="Garamond" w:hAnsi="Garamond" w:cs="Arial"/>
          <w:lang w:val="es-ES"/>
        </w:rPr>
        <w:t>Así las cosas, para obtener el puntaje, el Proponente entregará copia del certificado del Registro Único de Proponentes (</w:t>
      </w:r>
      <w:proofErr w:type="spellStart"/>
      <w:r w:rsidRPr="00C04C4B">
        <w:rPr>
          <w:rFonts w:ascii="Garamond" w:hAnsi="Garamond" w:cs="Arial"/>
          <w:lang w:val="es-ES"/>
        </w:rPr>
        <w:t>RUP</w:t>
      </w:r>
      <w:proofErr w:type="spellEnd"/>
      <w:r w:rsidRPr="00C04C4B">
        <w:rPr>
          <w:rFonts w:ascii="Garamond" w:hAnsi="Garamond" w:cs="Arial"/>
          <w:lang w:val="es-ES"/>
        </w:rPr>
        <w:t xml:space="preserve">), el cual deberá encontrarse vigente y en firme al momento de su presentación. </w:t>
      </w:r>
      <w:r w:rsidRPr="00C04C4B">
        <w:rPr>
          <w:rFonts w:ascii="Garamond" w:hAnsi="Garamond" w:cs="Arial"/>
        </w:rPr>
        <w:t xml:space="preserve">Si el Proponente debió subsanar la entrega del </w:t>
      </w:r>
      <w:proofErr w:type="spellStart"/>
      <w:r w:rsidRPr="00C04C4B">
        <w:rPr>
          <w:rFonts w:ascii="Garamond" w:hAnsi="Garamond" w:cs="Arial"/>
        </w:rPr>
        <w:t>RUP</w:t>
      </w:r>
      <w:proofErr w:type="spellEnd"/>
      <w:r w:rsidRPr="00C04C4B">
        <w:rPr>
          <w:rFonts w:ascii="Garamond" w:hAnsi="Garamond" w:cs="Arial"/>
        </w:rPr>
        <w:t xml:space="preserve">, este </w:t>
      </w:r>
      <w:r w:rsidRPr="00C04C4B">
        <w:rPr>
          <w:rFonts w:ascii="Garamond" w:hAnsi="Garamond" w:cs="Arial"/>
          <w:iCs/>
          <w:lang w:val="es-ES"/>
        </w:rPr>
        <w:t>será válido para los criterios diferenciales en cuanto a los requisitos habilitantes relacionados con el número de contratos aportados para demostrar la experiencia solicitada y los índices de la Capacidad Financiera y Organizaciona</w:t>
      </w:r>
      <w:r w:rsidRPr="00C04C4B">
        <w:rPr>
          <w:rFonts w:ascii="Garamond" w:hAnsi="Garamond" w:cs="Arial"/>
          <w:lang w:val="es-ES"/>
        </w:rPr>
        <w:t>l</w:t>
      </w:r>
      <w:r w:rsidRPr="00C04C4B">
        <w:rPr>
          <w:rFonts w:ascii="Garamond" w:hAnsi="Garamond" w:cs="Arial"/>
        </w:rPr>
        <w:t xml:space="preserve">. Sin embargo, el certificado no se tendrá en cuenta para la asignación del puntaje adicional, por lo que obtendrá cero (0) puntos por este factor de evaluación. </w:t>
      </w:r>
    </w:p>
    <w:p w14:paraId="5542FB3F" w14:textId="77777777" w:rsidR="00C04C4B" w:rsidRPr="00C04C4B" w:rsidRDefault="00C04C4B" w:rsidP="00C04C4B">
      <w:pPr>
        <w:jc w:val="both"/>
        <w:rPr>
          <w:rFonts w:ascii="Garamond" w:hAnsi="Garamond"/>
        </w:rPr>
      </w:pPr>
    </w:p>
    <w:p w14:paraId="05AD90BC" w14:textId="77777777" w:rsidR="00C04C4B" w:rsidRPr="00C04C4B" w:rsidRDefault="00C04C4B" w:rsidP="00C04C4B">
      <w:pPr>
        <w:jc w:val="both"/>
        <w:rPr>
          <w:rFonts w:ascii="Garamond" w:hAnsi="Garamond" w:cs="Arial"/>
          <w:lang w:val="es-ES"/>
        </w:rPr>
      </w:pPr>
      <w:r w:rsidRPr="00C04C4B">
        <w:rPr>
          <w:rFonts w:ascii="Garamond" w:hAnsi="Garamond" w:cs="Arial"/>
          <w:lang w:val="es-ES"/>
        </w:rPr>
        <w:t xml:space="preserve">Tratándose de Proponentes Plurales este puntaje se otorgará si por lo menos uno (1) de los integrantes acredita la calidad de </w:t>
      </w:r>
      <w:proofErr w:type="spellStart"/>
      <w:r w:rsidRPr="00C04C4B">
        <w:rPr>
          <w:rFonts w:ascii="Garamond" w:hAnsi="Garamond" w:cs="Arial"/>
          <w:lang w:val="es-ES"/>
        </w:rPr>
        <w:t>Mipyme</w:t>
      </w:r>
      <w:proofErr w:type="spellEnd"/>
      <w:r w:rsidRPr="00C04C4B">
        <w:rPr>
          <w:rFonts w:ascii="Garamond" w:hAnsi="Garamond" w:cs="Arial"/>
          <w:lang w:val="es-ES"/>
        </w:rPr>
        <w:t xml:space="preserve"> y tiene una participación igual o superior al diez por ciento (10 %) en el Consorcio o en la Unión Temporal. </w:t>
      </w:r>
    </w:p>
    <w:p w14:paraId="6E961E89" w14:textId="77777777" w:rsidR="00C04C4B" w:rsidRPr="00C04C4B" w:rsidRDefault="00C04C4B" w:rsidP="00C04C4B">
      <w:pPr>
        <w:jc w:val="both"/>
        <w:rPr>
          <w:rFonts w:ascii="Garamond" w:hAnsi="Garamond" w:cs="Arial"/>
          <w:lang w:val="es-ES"/>
        </w:rPr>
      </w:pPr>
    </w:p>
    <w:p w14:paraId="101E6E5A" w14:textId="77777777" w:rsidR="00C04C4B" w:rsidRPr="00C04C4B" w:rsidRDefault="00C04C4B" w:rsidP="00C04C4B">
      <w:pPr>
        <w:spacing w:line="276" w:lineRule="auto"/>
        <w:jc w:val="both"/>
        <w:rPr>
          <w:rFonts w:ascii="Garamond" w:eastAsia="Arial" w:hAnsi="Garamond" w:cs="Arial"/>
        </w:rPr>
      </w:pPr>
      <w:r w:rsidRPr="00C04C4B">
        <w:rPr>
          <w:rFonts w:ascii="Garamond" w:hAnsi="Garamond" w:cs="Arial"/>
          <w:b/>
          <w:bCs/>
          <w:lang w:val="es-ES"/>
        </w:rPr>
        <w:t xml:space="preserve">Nota 14: </w:t>
      </w:r>
      <w:r w:rsidRPr="00C04C4B">
        <w:rPr>
          <w:rFonts w:ascii="Garamond" w:eastAsia="Arial" w:hAnsi="Garamond" w:cs="Arial"/>
        </w:rPr>
        <w:t xml:space="preserve">En el evento que la subsunción del </w:t>
      </w:r>
      <w:proofErr w:type="spellStart"/>
      <w:r w:rsidRPr="00C04C4B">
        <w:rPr>
          <w:rFonts w:ascii="Garamond" w:eastAsia="Arial" w:hAnsi="Garamond" w:cs="Arial"/>
        </w:rPr>
        <w:t>RUP</w:t>
      </w:r>
      <w:proofErr w:type="spellEnd"/>
      <w:r w:rsidRPr="00C04C4B">
        <w:rPr>
          <w:rFonts w:ascii="Garamond" w:eastAsia="Arial" w:hAnsi="Garamond" w:cs="Arial"/>
        </w:rPr>
        <w:t xml:space="preserve"> solo sea para dar cumplimiento a el requisito que indica que la fecha de expedición del certificado no sea mayor a treinta (30) días calendario anteriores a la fecha del cierre del Proceso de Contratación, no se aplicara lo dispuesto en la parte final del inciso segundo de este numeral.</w:t>
      </w:r>
    </w:p>
    <w:p w14:paraId="7A7C1A7B" w14:textId="77777777" w:rsidR="00C04C4B" w:rsidRPr="00C04C4B" w:rsidRDefault="00C04C4B" w:rsidP="00C04C4B">
      <w:pPr>
        <w:spacing w:line="276" w:lineRule="auto"/>
        <w:jc w:val="both"/>
        <w:rPr>
          <w:rFonts w:ascii="Garamond" w:eastAsia="Arial" w:hAnsi="Garamond" w:cs="Arial"/>
        </w:rPr>
      </w:pPr>
    </w:p>
    <w:p w14:paraId="0610CBD6" w14:textId="77777777" w:rsidR="00C04C4B" w:rsidRPr="00C04C4B" w:rsidRDefault="00C04C4B" w:rsidP="00C04C4B">
      <w:pPr>
        <w:spacing w:line="276" w:lineRule="auto"/>
        <w:ind w:right="193"/>
        <w:jc w:val="both"/>
        <w:rPr>
          <w:rFonts w:ascii="Garamond" w:eastAsia="Arial" w:hAnsi="Garamond" w:cs="Arial"/>
        </w:rPr>
      </w:pPr>
      <w:r w:rsidRPr="00C04C4B">
        <w:rPr>
          <w:rFonts w:ascii="Garamond" w:eastAsia="Arial" w:hAnsi="Garamond" w:cs="Arial"/>
        </w:rPr>
        <w:t>Por lo tanto, una vez presentada la subsanación, la Entidad analizará y valorará la información allegada por el proponente</w:t>
      </w:r>
      <w:r w:rsidRPr="00C04C4B">
        <w:rPr>
          <w:rFonts w:ascii="Garamond" w:eastAsia="Arial" w:hAnsi="Garamond" w:cs="Arial"/>
          <w:i/>
        </w:rPr>
        <w:t xml:space="preserve">, </w:t>
      </w:r>
      <w:r w:rsidRPr="00C04C4B">
        <w:rPr>
          <w:rFonts w:ascii="Garamond" w:eastAsia="Arial" w:hAnsi="Garamond" w:cs="Arial"/>
        </w:rPr>
        <w:t xml:space="preserve">con el fin de establecer si efectivamente se trata de únicamente una aclaración o actualización de fecha de expedición del certificado del </w:t>
      </w:r>
      <w:proofErr w:type="spellStart"/>
      <w:r w:rsidRPr="00C04C4B">
        <w:rPr>
          <w:rFonts w:ascii="Garamond" w:eastAsia="Arial" w:hAnsi="Garamond" w:cs="Arial"/>
        </w:rPr>
        <w:t>RUP</w:t>
      </w:r>
      <w:proofErr w:type="spellEnd"/>
      <w:r w:rsidRPr="00C04C4B">
        <w:rPr>
          <w:rFonts w:ascii="Garamond" w:eastAsia="Arial" w:hAnsi="Garamond" w:cs="Arial"/>
        </w:rPr>
        <w:t>, caso en el cual se podrá otorgar al proponente el puntaje por este criterio.</w:t>
      </w:r>
    </w:p>
    <w:p w14:paraId="4D687AA0" w14:textId="77777777" w:rsidR="00C04C4B" w:rsidRPr="00C04C4B" w:rsidRDefault="00C04C4B" w:rsidP="00C04C4B">
      <w:pPr>
        <w:rPr>
          <w:rFonts w:ascii="Garamond" w:hAnsi="Garamond" w:cs="Arial"/>
        </w:rPr>
      </w:pPr>
    </w:p>
    <w:p w14:paraId="3C353A92" w14:textId="57568087" w:rsidR="00C04C4B" w:rsidRPr="00C04C4B" w:rsidRDefault="00C04C4B" w:rsidP="00A23238">
      <w:pPr>
        <w:pStyle w:val="Capitulo1"/>
        <w:numPr>
          <w:ilvl w:val="2"/>
          <w:numId w:val="54"/>
        </w:numPr>
        <w:tabs>
          <w:tab w:val="left" w:pos="851"/>
        </w:tabs>
        <w:spacing w:line="240" w:lineRule="auto"/>
        <w:jc w:val="both"/>
        <w:rPr>
          <w:rFonts w:ascii="Garamond" w:eastAsia="Arial" w:hAnsi="Garamond"/>
          <w:color w:val="auto"/>
          <w:sz w:val="22"/>
          <w:szCs w:val="22"/>
        </w:rPr>
      </w:pPr>
      <w:bookmarkStart w:id="902" w:name="_Toc108082935"/>
      <w:bookmarkStart w:id="903" w:name="_Toc215132465"/>
      <w:r w:rsidRPr="00C04C4B">
        <w:rPr>
          <w:rFonts w:ascii="Garamond" w:eastAsia="Arial" w:hAnsi="Garamond"/>
          <w:color w:val="auto"/>
          <w:sz w:val="22"/>
          <w:szCs w:val="22"/>
        </w:rPr>
        <w:t>CRITERIOS DE DESEMPATE</w:t>
      </w:r>
      <w:bookmarkEnd w:id="889"/>
      <w:bookmarkEnd w:id="890"/>
      <w:bookmarkEnd w:id="891"/>
      <w:bookmarkEnd w:id="892"/>
      <w:bookmarkEnd w:id="893"/>
      <w:bookmarkEnd w:id="894"/>
      <w:bookmarkEnd w:id="895"/>
      <w:bookmarkEnd w:id="896"/>
      <w:bookmarkEnd w:id="897"/>
      <w:bookmarkEnd w:id="898"/>
      <w:bookmarkEnd w:id="902"/>
      <w:bookmarkEnd w:id="903"/>
      <w:r w:rsidRPr="00C04C4B">
        <w:rPr>
          <w:rFonts w:ascii="Garamond" w:eastAsia="Arial" w:hAnsi="Garamond"/>
          <w:color w:val="auto"/>
          <w:sz w:val="22"/>
          <w:szCs w:val="22"/>
        </w:rPr>
        <w:t xml:space="preserve"> </w:t>
      </w:r>
    </w:p>
    <w:bookmarkEnd w:id="899"/>
    <w:p w14:paraId="6114C2D6" w14:textId="77777777" w:rsidR="00C04C4B" w:rsidRPr="00C04C4B" w:rsidRDefault="00C04C4B" w:rsidP="00C04C4B">
      <w:pPr>
        <w:shd w:val="clear" w:color="auto" w:fill="FFFFFF" w:themeFill="background1"/>
        <w:spacing w:after="200"/>
        <w:ind w:right="49"/>
        <w:jc w:val="both"/>
        <w:rPr>
          <w:rFonts w:ascii="Garamond" w:hAnsi="Garamond" w:cs="Arial"/>
          <w:lang w:val="es-ES"/>
        </w:rPr>
      </w:pPr>
      <w:r w:rsidRPr="00C04C4B">
        <w:rPr>
          <w:rFonts w:ascii="Garamond" w:hAnsi="Garamond" w:cs="Arial"/>
          <w:lang w:val="es-ES"/>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p>
    <w:p w14:paraId="748376BD" w14:textId="77777777" w:rsidR="00C04C4B" w:rsidRPr="00C04C4B" w:rsidRDefault="00C04C4B" w:rsidP="00A23238">
      <w:pPr>
        <w:widowControl/>
        <w:numPr>
          <w:ilvl w:val="0"/>
          <w:numId w:val="49"/>
        </w:numPr>
        <w:tabs>
          <w:tab w:val="left" w:pos="284"/>
        </w:tabs>
        <w:spacing w:after="200"/>
        <w:ind w:left="0" w:right="51" w:firstLine="0"/>
        <w:jc w:val="both"/>
        <w:rPr>
          <w:rFonts w:ascii="Garamond" w:hAnsi="Garamond" w:cs="Arial"/>
          <w:lang w:val="es-ES"/>
        </w:rPr>
      </w:pPr>
      <w:r w:rsidRPr="00C04C4B">
        <w:rPr>
          <w:rFonts w:ascii="Garamond" w:hAnsi="Garamond" w:cs="Arial"/>
          <w:lang w:val="es-ES"/>
        </w:rPr>
        <w:t>Preferir la oferta de bienes o Servicios Nacionales frente a la oferta de bienes o servicios extranjeros. El Proponente acreditará este factor de desempate de acuerdo con las reglas definidas en el numeral 4.4.1 y con los documentos señalados en la sección 4.4.1.1 del Pliego de Condiciones. Por tanto, este criterio de desempate se probará con los mismos documentos que se presentan para el puntaje de apoyo a la industria nacional. Para el caso de los Proponentes Plurales, todos los integrantes deberán demostrar el origen nacional de la oferta en las condiciones indicadas en los numerales anteriormente citados.</w:t>
      </w:r>
    </w:p>
    <w:p w14:paraId="726F192F" w14:textId="77777777" w:rsidR="00C04C4B" w:rsidRPr="00C04C4B" w:rsidRDefault="00C04C4B" w:rsidP="00A23238">
      <w:pPr>
        <w:pStyle w:val="Prrafodelista"/>
        <w:widowControl/>
        <w:numPr>
          <w:ilvl w:val="0"/>
          <w:numId w:val="49"/>
        </w:numPr>
        <w:tabs>
          <w:tab w:val="left" w:pos="284"/>
          <w:tab w:val="left" w:pos="993"/>
        </w:tabs>
        <w:spacing w:before="240" w:after="200"/>
        <w:ind w:left="0" w:right="49" w:firstLine="0"/>
        <w:contextualSpacing/>
        <w:rPr>
          <w:rFonts w:ascii="Garamond" w:hAnsi="Garamond" w:cs="Arial"/>
          <w:lang w:val="es-ES"/>
        </w:rPr>
      </w:pPr>
      <w:r w:rsidRPr="00C04C4B">
        <w:rPr>
          <w:rFonts w:ascii="Garamond" w:hAnsi="Garamond" w:cs="Arial"/>
          <w:lang w:val="es-ES"/>
        </w:rPr>
        <w:lastRenderedPageBreak/>
        <w:t>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 En caso de modificarse la fecha de cierre del proceso, se tendrá como referencia para establecer el plazo de vigencia del certificado la fecha originalmente contemplada en el Pliego de Condiciones definitivo.</w:t>
      </w:r>
    </w:p>
    <w:p w14:paraId="2B2608E7" w14:textId="77777777" w:rsidR="00C04C4B" w:rsidRPr="00C04C4B" w:rsidRDefault="00C04C4B" w:rsidP="00C04C4B">
      <w:pPr>
        <w:tabs>
          <w:tab w:val="left" w:pos="0"/>
          <w:tab w:val="left" w:pos="284"/>
        </w:tabs>
        <w:spacing w:after="200"/>
        <w:ind w:right="49"/>
        <w:jc w:val="both"/>
        <w:rPr>
          <w:rFonts w:ascii="Garamond" w:hAnsi="Garamond" w:cs="Arial"/>
          <w:lang w:val="es-ES"/>
        </w:rPr>
      </w:pPr>
      <w:r w:rsidRPr="00C04C4B">
        <w:rPr>
          <w:rFonts w:ascii="Garamond" w:hAnsi="Garamond" w:cs="Arial"/>
          <w:lang w:val="es-ES"/>
        </w:rPr>
        <w:t>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w:t>
      </w:r>
      <w:r w:rsidRPr="00C04C4B" w:rsidDel="00A44E16">
        <w:rPr>
          <w:rFonts w:ascii="Garamond" w:hAnsi="Garamond" w:cs="Arial"/>
          <w:lang w:val="es-ES"/>
        </w:rPr>
        <w:t xml:space="preserve"> </w:t>
      </w:r>
      <w:r w:rsidRPr="00C04C4B">
        <w:rPr>
          <w:rFonts w:ascii="Garamond" w:hAnsi="Garamond" w:cs="Arial"/>
          <w:lang w:val="es-ES"/>
        </w:rPr>
        <w:t xml:space="preserve">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esa naturaleza. </w:t>
      </w:r>
    </w:p>
    <w:p w14:paraId="6D303DE3" w14:textId="77777777" w:rsidR="00C04C4B" w:rsidRPr="00C04C4B" w:rsidRDefault="00C04C4B" w:rsidP="00C04C4B">
      <w:pPr>
        <w:spacing w:after="200"/>
        <w:ind w:right="49"/>
        <w:jc w:val="both"/>
        <w:rPr>
          <w:rFonts w:ascii="Garamond" w:hAnsi="Garamond" w:cs="Arial"/>
          <w:lang w:val="es-ES"/>
        </w:rPr>
      </w:pPr>
      <w:r w:rsidRPr="00C04C4B">
        <w:rPr>
          <w:rFonts w:ascii="Garamond" w:hAnsi="Garamond" w:cs="Arial"/>
          <w:lang w:val="es-ES"/>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10A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14:paraId="6EC3219A" w14:textId="77777777" w:rsidR="00C04C4B" w:rsidRPr="00C04C4B" w:rsidRDefault="00C04C4B" w:rsidP="00C04C4B">
      <w:pPr>
        <w:tabs>
          <w:tab w:val="left" w:pos="0"/>
        </w:tabs>
        <w:spacing w:after="200"/>
        <w:ind w:right="49"/>
        <w:jc w:val="both"/>
        <w:rPr>
          <w:rFonts w:ascii="Garamond" w:hAnsi="Garamond" w:cs="Arial"/>
          <w:lang w:val="es-ES"/>
        </w:rPr>
      </w:pPr>
      <w:r w:rsidRPr="00C04C4B">
        <w:rPr>
          <w:rFonts w:ascii="Garamond" w:hAnsi="Garamond" w:cs="Arial"/>
          <w:lang w:val="es-ES"/>
        </w:rPr>
        <w:t>Finalmente, en el caso de los Proponentes Plurales, se preferirá la oferta cuando cada uno de los integrantes acredite alguna de las condiciones señaladas en los incisos anteriores de este numeral.</w:t>
      </w:r>
    </w:p>
    <w:p w14:paraId="4EECFFC4" w14:textId="77777777" w:rsidR="00C04C4B" w:rsidRPr="00C04C4B" w:rsidRDefault="00C04C4B" w:rsidP="00C04C4B">
      <w:pPr>
        <w:tabs>
          <w:tab w:val="left" w:pos="0"/>
        </w:tabs>
        <w:spacing w:after="200"/>
        <w:ind w:right="49"/>
        <w:jc w:val="both"/>
        <w:rPr>
          <w:rFonts w:ascii="Garamond" w:hAnsi="Garamond" w:cs="Arial"/>
          <w:lang w:val="es-ES"/>
        </w:rPr>
      </w:pPr>
      <w:r w:rsidRPr="00C04C4B">
        <w:rPr>
          <w:rFonts w:ascii="Garamond" w:hAnsi="Garamond" w:cs="Arial"/>
          <w:lang w:val="es-ES"/>
        </w:rPr>
        <w:t>Debido a que para el otorgamiento de este criterio de desempate se entregan certificados que contienen datos sensibles, de acuerdo con el artículo 5 de la Ley 1581 de 2012 o la norma que lo modifique, aclare, adicione o sustituya</w:t>
      </w:r>
      <w:r w:rsidRPr="00C04C4B" w:rsidDel="00F36DC1">
        <w:rPr>
          <w:rFonts w:ascii="Garamond" w:hAnsi="Garamond" w:cs="Arial"/>
          <w:lang w:val="es-ES"/>
        </w:rPr>
        <w:t>,</w:t>
      </w:r>
      <w:r w:rsidRPr="00C04C4B">
        <w:rPr>
          <w:rFonts w:ascii="Garamond" w:hAnsi="Garamond" w:cs="Arial"/>
          <w:lang w:val="es-ES"/>
        </w:rPr>
        <w:t xml:space="preserve"> se requiere que el titular de la información, como son las mujeres víctimas de violencia intrafamiliar, en los términos del literal a) del artículo 6 de la Ley 1581 de 2012, diligencien el “Formato 11 – Autorización para el tratamiento de datos personales” mediante el cual autoricen de manera previa y expresa el tratamiento de esta información, </w:t>
      </w:r>
      <w:r w:rsidRPr="00C04C4B" w:rsidDel="005313E1">
        <w:rPr>
          <w:rFonts w:ascii="Garamond" w:hAnsi="Garamond" w:cs="Arial"/>
          <w:lang w:val="es-ES"/>
        </w:rPr>
        <w:t xml:space="preserve">como requisito para el otorgamiento del criterio de </w:t>
      </w:r>
      <w:r w:rsidRPr="00C04C4B">
        <w:rPr>
          <w:rFonts w:ascii="Garamond" w:hAnsi="Garamond" w:cs="Arial"/>
          <w:lang w:val="es-ES"/>
        </w:rPr>
        <w:t>desempate.</w:t>
      </w:r>
    </w:p>
    <w:p w14:paraId="751CCE8D" w14:textId="77777777" w:rsidR="00C04C4B" w:rsidRPr="00C04C4B" w:rsidRDefault="00C04C4B" w:rsidP="00A23238">
      <w:pPr>
        <w:widowControl/>
        <w:numPr>
          <w:ilvl w:val="0"/>
          <w:numId w:val="49"/>
        </w:numPr>
        <w:tabs>
          <w:tab w:val="left" w:pos="284"/>
          <w:tab w:val="left" w:pos="993"/>
        </w:tabs>
        <w:spacing w:after="200"/>
        <w:ind w:left="0" w:right="49" w:firstLine="0"/>
        <w:jc w:val="both"/>
        <w:rPr>
          <w:rFonts w:ascii="Garamond" w:hAnsi="Garamond" w:cs="Arial"/>
          <w:lang w:val="es-ES"/>
        </w:rPr>
      </w:pPr>
      <w:r w:rsidRPr="00C04C4B">
        <w:rPr>
          <w:rFonts w:ascii="Garamond" w:hAnsi="Garamond" w:cs="Arial"/>
          <w:lang w:val="es-ES"/>
        </w:rPr>
        <w:t xml:space="preserve">Preferir la propuesta presentada por el Proponente que acredite, en las circunstancias establecidas en la ley, que por lo menos el diez por ciento (10 %) de las personas que conforman su nómina están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Proceso de Contratación </w:t>
      </w:r>
      <w:r w:rsidRPr="00C04C4B">
        <w:rPr>
          <w:rFonts w:ascii="Garamond" w:hAnsi="Garamond" w:cs="Arial"/>
          <w:lang w:val="es-ES"/>
        </w:rPr>
        <w:lastRenderedPageBreak/>
        <w:t xml:space="preserve">o desde el momento de la constitución de la persona jurídica cuando esta es inferior a un (1) año y que manifieste adicionalmente que mantendrá dicho personal por un lapso igual al término de ejecución del contrato, para lo cual deberá diligenciar el “Formato 10B – Vinculación de personas en condición de discapacidad”. </w:t>
      </w:r>
      <w:r w:rsidRPr="00C04C4B">
        <w:rPr>
          <w:rFonts w:ascii="Garamond" w:eastAsia="Calibri" w:hAnsi="Garamond" w:cs="Arial"/>
          <w:bCs/>
          <w:lang w:eastAsia="en-US"/>
        </w:rPr>
        <w:t>En caso de modificarse la fecha de cierre del proceso, se tendrá como referencia para establecer el plazo de vigencia del certificado la fecha originalmente contemplada en el Pliego de Condiciones definitivo.</w:t>
      </w:r>
    </w:p>
    <w:p w14:paraId="6D2CFAF2" w14:textId="77777777" w:rsidR="00C04C4B" w:rsidRPr="00C04C4B" w:rsidRDefault="00C04C4B" w:rsidP="00C04C4B">
      <w:pPr>
        <w:tabs>
          <w:tab w:val="left" w:pos="993"/>
        </w:tabs>
        <w:spacing w:after="200"/>
        <w:ind w:right="49"/>
        <w:jc w:val="both"/>
        <w:rPr>
          <w:rFonts w:ascii="Garamond" w:hAnsi="Garamond" w:cs="Arial"/>
          <w:lang w:val="es-ES"/>
        </w:rPr>
      </w:pPr>
      <w:r w:rsidRPr="00C04C4B">
        <w:rPr>
          <w:rFonts w:ascii="Garamond" w:hAnsi="Garamond" w:cs="Arial"/>
          <w:lang w:val="es-ES"/>
        </w:rPr>
        <w:t>Si la oferta es presentada por un Proponente Plural,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w:t>
      </w:r>
      <w:r w:rsidRPr="00C04C4B" w:rsidDel="00B96BD3">
        <w:rPr>
          <w:rFonts w:ascii="Garamond" w:hAnsi="Garamond" w:cs="Arial"/>
          <w:lang w:val="es-ES"/>
        </w:rPr>
        <w:t>.</w:t>
      </w:r>
      <w:r w:rsidRPr="00C04C4B">
        <w:rPr>
          <w:rFonts w:ascii="Garamond" w:hAnsi="Garamond" w:cs="Arial"/>
          <w:lang w:val="es-ES"/>
        </w:rPr>
        <w:t xml:space="preserve"> </w:t>
      </w:r>
    </w:p>
    <w:p w14:paraId="71A3FC57" w14:textId="77777777" w:rsidR="00C04C4B" w:rsidRPr="00C04C4B" w:rsidRDefault="00C04C4B" w:rsidP="00C04C4B">
      <w:pPr>
        <w:tabs>
          <w:tab w:val="left" w:pos="993"/>
        </w:tabs>
        <w:spacing w:after="200"/>
        <w:ind w:right="49"/>
        <w:jc w:val="both"/>
        <w:rPr>
          <w:rFonts w:ascii="Garamond" w:hAnsi="Garamond" w:cs="Arial"/>
          <w:lang w:val="es-ES"/>
        </w:rPr>
      </w:pPr>
      <w:r w:rsidRPr="00C04C4B">
        <w:rPr>
          <w:rFonts w:ascii="Garamond" w:hAnsi="Garamond" w:cs="Arial"/>
          <w:lang w:val="es-ES"/>
        </w:rPr>
        <w:t xml:space="preserve">El tiempo de vinculación en la planta referida de que trata este numeral se acreditará con el certificado de aportes al Sistema de Seguridad Social del último año o del tiempo de su constitución cuando su conformación sea inferior a un (1) año, en el que se demuestren los pagos realizados por el empleador. </w:t>
      </w:r>
    </w:p>
    <w:p w14:paraId="3B147B22" w14:textId="77777777" w:rsidR="00C04C4B" w:rsidRPr="00C04C4B" w:rsidRDefault="00C04C4B" w:rsidP="00A23238">
      <w:pPr>
        <w:widowControl/>
        <w:numPr>
          <w:ilvl w:val="0"/>
          <w:numId w:val="49"/>
        </w:numPr>
        <w:tabs>
          <w:tab w:val="left" w:pos="284"/>
          <w:tab w:val="left" w:pos="993"/>
        </w:tabs>
        <w:spacing w:after="200"/>
        <w:ind w:left="0" w:right="49" w:firstLine="0"/>
        <w:jc w:val="both"/>
        <w:rPr>
          <w:rFonts w:ascii="Garamond" w:hAnsi="Garamond" w:cs="Arial"/>
          <w:lang w:val="es-ES"/>
        </w:rPr>
      </w:pPr>
      <w:r w:rsidRPr="00C04C4B">
        <w:rPr>
          <w:rFonts w:ascii="Garamond" w:hAnsi="Garamond" w:cs="Arial"/>
          <w:lang w:val="es-ES"/>
        </w:rPr>
        <w:t xml:space="preserve">Preferir la propuesta presentada por el oferente que acredite la vinculación en mayor proporción de personas que no sean beneficiarias de la pensión de vejez, familiar o de sobrevivencia y que hayan cumplido el requisito de edad de pensión establecido en la ley. Para ello la persona natural, el representante legal de la persona jurídica o el revisor fiscal, según corresponda, diligenciará el “Formato 10C – Vinculación de personas  no beneficiarias de la pensión de vejez, familiar o sobrevivencia – (Empleador – Proponente)”, mediante la cual certificará bajo la gravedad del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w:t>
      </w:r>
      <w:r w:rsidRPr="00C04C4B">
        <w:rPr>
          <w:rFonts w:ascii="Garamond" w:hAnsi="Garamond" w:cs="Arial"/>
          <w:color w:val="000000" w:themeColor="text1"/>
        </w:rPr>
        <w:t xml:space="preserve">En caso de modificarse la fecha de cierre del proceso, se tendrá como referencia para establecer el plazo de vigencia del certificado la fecha originalmente contemplada en el Pliego de Condiciones definitivo. </w:t>
      </w:r>
    </w:p>
    <w:p w14:paraId="1BC4A5FD" w14:textId="77777777" w:rsidR="00C04C4B" w:rsidRPr="00C04C4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lang w:val="es-ES"/>
        </w:rPr>
        <w:t>El tiempo de vinculación en la planta referida de que trata el inciso anterior se acreditará con el certificado de aportes al Sistema de Seguridad Social del último año o del tiempo de constitución de la persona jurídica en caso de que esta sea inferior a un (1) año, en el que se demuestren los pagos realizados por el empleador.</w:t>
      </w:r>
      <w:r w:rsidRPr="00C04C4B" w:rsidDel="0068395B">
        <w:rPr>
          <w:rFonts w:ascii="Garamond" w:hAnsi="Garamond" w:cs="Arial"/>
          <w:lang w:val="es-ES"/>
        </w:rPr>
        <w:t xml:space="preserve"> </w:t>
      </w:r>
    </w:p>
    <w:p w14:paraId="62209E32" w14:textId="77777777" w:rsidR="00C04C4B" w:rsidRPr="00C04C4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lang w:val="es-ES"/>
        </w:rPr>
        <w:t>En el caso de los Proponentes Plurales, su representante legal diligenciará el “Formato 10C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1861C25A" w14:textId="77777777" w:rsidR="00C04C4B" w:rsidRPr="00C04C4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lang w:val="es-ES"/>
        </w:rPr>
        <w:t xml:space="preserve">En cualquiera de los dos supuestos anteriores, para el otorgamiento del criterio de desempate, cada uno de los trabajadores que cumpla las condiciones previstas por la ley diligenciará el “Formato 10C – Vinculación de </w:t>
      </w:r>
      <w:r w:rsidRPr="00C04C4B">
        <w:rPr>
          <w:rFonts w:ascii="Garamond" w:hAnsi="Garamond" w:cs="Arial"/>
          <w:lang w:val="es-ES"/>
        </w:rPr>
        <w:lastRenderedPageBreak/>
        <w:t>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14:paraId="7969B688" w14:textId="77777777" w:rsidR="00C04C4B" w:rsidRPr="00C04C4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lang w:val="es-ES"/>
        </w:rPr>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14:paraId="678C7651" w14:textId="77777777" w:rsidR="00C04C4B" w:rsidRPr="00C04C4B" w:rsidRDefault="00C04C4B" w:rsidP="00A23238">
      <w:pPr>
        <w:widowControl/>
        <w:numPr>
          <w:ilvl w:val="0"/>
          <w:numId w:val="49"/>
        </w:numPr>
        <w:tabs>
          <w:tab w:val="left" w:pos="284"/>
          <w:tab w:val="left" w:pos="993"/>
        </w:tabs>
        <w:spacing w:after="200"/>
        <w:ind w:left="0" w:right="49" w:firstLine="0"/>
        <w:jc w:val="both"/>
        <w:rPr>
          <w:rFonts w:ascii="Garamond" w:hAnsi="Garamond" w:cs="Arial"/>
          <w:lang w:val="es-ES"/>
        </w:rPr>
      </w:pPr>
      <w:r w:rsidRPr="00C04C4B">
        <w:rPr>
          <w:rFonts w:ascii="Garamond" w:hAnsi="Garamond" w:cs="Arial"/>
          <w:lang w:val="es-ES"/>
        </w:rPr>
        <w:t xml:space="preserve">Preferir la propuesta presentada por el oferente que acredite que por lo menos el diez por ciento (10 %) de su nómina pertenece a población indígena, negra, afrocolombiana, raizal, palanquera, </w:t>
      </w:r>
      <w:proofErr w:type="spellStart"/>
      <w:r w:rsidRPr="00C04C4B">
        <w:rPr>
          <w:rFonts w:ascii="Garamond" w:hAnsi="Garamond" w:cs="Arial"/>
          <w:lang w:val="es-ES"/>
        </w:rPr>
        <w:t>Rrom</w:t>
      </w:r>
      <w:proofErr w:type="spellEnd"/>
      <w:r w:rsidRPr="00C04C4B">
        <w:rPr>
          <w:rFonts w:ascii="Garamond" w:hAnsi="Garamond" w:cs="Arial"/>
          <w:lang w:val="es-ES"/>
        </w:rPr>
        <w:t xml:space="preserve"> o gitana, para lo cual la persona natural, el representante legal o el revisor fiscal, según corresponda, bajo la gravedad del juramento, diligenciará el “Formato 10D – Vinculación de población indígena, negra, afrocolombiana, raizal, palenquera, </w:t>
      </w:r>
      <w:proofErr w:type="spellStart"/>
      <w:r w:rsidRPr="00C04C4B">
        <w:rPr>
          <w:rFonts w:ascii="Garamond" w:hAnsi="Garamond" w:cs="Arial"/>
          <w:lang w:val="es-ES"/>
        </w:rPr>
        <w:t>Rrom</w:t>
      </w:r>
      <w:proofErr w:type="spellEnd"/>
      <w:r w:rsidRPr="00C04C4B">
        <w:rPr>
          <w:rFonts w:ascii="Garamond" w:hAnsi="Garamond" w:cs="Arial"/>
          <w:lang w:val="es-ES"/>
        </w:rPr>
        <w:t xml:space="preserve"> o gitana”, mediante el cual certifica las personas vinculadas a su nómina, el número de identificación y el nombre de las personas que pertenecen a la población indígena, negra, afrocolombiana, raizal, palanquera, </w:t>
      </w:r>
      <w:proofErr w:type="spellStart"/>
      <w:r w:rsidRPr="00C04C4B">
        <w:rPr>
          <w:rFonts w:ascii="Garamond" w:hAnsi="Garamond" w:cs="Arial"/>
          <w:lang w:val="es-ES"/>
        </w:rPr>
        <w:t>Rrom</w:t>
      </w:r>
      <w:proofErr w:type="spellEnd"/>
      <w:r w:rsidRPr="00C04C4B">
        <w:rPr>
          <w:rFonts w:ascii="Garamond" w:hAnsi="Garamond" w:cs="Arial"/>
          <w:lang w:val="es-ES"/>
        </w:rPr>
        <w:t xml:space="preserve"> 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la constitución de la persona jurídica. </w:t>
      </w:r>
      <w:r w:rsidRPr="00C04C4B">
        <w:rPr>
          <w:rFonts w:ascii="Garamond" w:eastAsiaTheme="minorEastAsia" w:hAnsi="Garamond" w:cs="Arial"/>
          <w:color w:val="000000" w:themeColor="text1"/>
          <w:lang w:eastAsia="en-US"/>
        </w:rPr>
        <w:t>En caso de modificarse la fecha de cierre del proceso, se tendrá como referencia para establecer el plazo de vigencia del certificado la fecha originalmente contemplada en el Pliego de Condiciones definitivo.</w:t>
      </w:r>
    </w:p>
    <w:p w14:paraId="12A3E575" w14:textId="77777777" w:rsidR="00C04C4B" w:rsidRPr="00C04C4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lang w:val="es-ES"/>
        </w:rPr>
        <w:t xml:space="preserve">El tiempo de vinculación en la planta referida de que trata el inciso anterior se acreditará con el certificado de aportes al Sistema de Seguridad Social en el que se demuestren los pagos realizados por el empleador en el último año contado a partir de la fecha del cierre del proceso o del tiempo de su constitución cuando esta sea inferior a un (1) año </w:t>
      </w:r>
    </w:p>
    <w:p w14:paraId="34A67FCA" w14:textId="77777777" w:rsidR="00C04C4B" w:rsidRPr="00C04C4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lang w:val="es-ES"/>
        </w:rPr>
        <w:t xml:space="preserve">Además, deberá aportar la copia de la certificación expedida por el Ministerio del Interior en la cual acredite que los trabajadores pertenecen a la población indígena, negra, afrocolombiana, raizal, palenquera, </w:t>
      </w:r>
      <w:proofErr w:type="spellStart"/>
      <w:r w:rsidRPr="00C04C4B">
        <w:rPr>
          <w:rFonts w:ascii="Garamond" w:hAnsi="Garamond" w:cs="Arial"/>
          <w:lang w:val="es-ES"/>
        </w:rPr>
        <w:t>Rrom</w:t>
      </w:r>
      <w:proofErr w:type="spellEnd"/>
      <w:r w:rsidRPr="00C04C4B">
        <w:rPr>
          <w:rFonts w:ascii="Garamond" w:hAnsi="Garamond" w:cs="Arial"/>
          <w:lang w:val="es-ES"/>
        </w:rPr>
        <w:t xml:space="preserve"> o gitana, en los términos del Decreto Ley 2893 de 2011 o la norma que lo modifique, sustituya o complemente.</w:t>
      </w:r>
    </w:p>
    <w:p w14:paraId="72812A64" w14:textId="77777777" w:rsidR="00C04C4B" w:rsidRPr="00C04C4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lang w:val="es-ES"/>
        </w:rPr>
        <w:t xml:space="preserve">En el caso de los Proponentes Plurales, su representante legal diligenciará el “Formato 10D – Vinculación de población indígena, negra, afrocolombiana, raizal, palenquera, </w:t>
      </w:r>
      <w:proofErr w:type="spellStart"/>
      <w:r w:rsidRPr="00C04C4B">
        <w:rPr>
          <w:rFonts w:ascii="Garamond" w:hAnsi="Garamond" w:cs="Arial"/>
          <w:lang w:val="es-ES"/>
        </w:rPr>
        <w:t>Rrom</w:t>
      </w:r>
      <w:proofErr w:type="spellEnd"/>
      <w:r w:rsidRPr="00C04C4B">
        <w:rPr>
          <w:rFonts w:ascii="Garamond" w:hAnsi="Garamond" w:cs="Arial"/>
          <w:lang w:val="es-ES"/>
        </w:rPr>
        <w:t xml:space="preserve"> o gitana”, mediante el cual certifica que por lo menos el diez por ciento (10 %) del total de la nómina de sus integrantes pertenece a población indígena, negra, afrocolombiana, raizal, palanquera, </w:t>
      </w:r>
      <w:proofErr w:type="spellStart"/>
      <w:r w:rsidRPr="00C04C4B">
        <w:rPr>
          <w:rFonts w:ascii="Garamond" w:hAnsi="Garamond" w:cs="Arial"/>
          <w:lang w:val="es-ES"/>
        </w:rPr>
        <w:t>Rrom</w:t>
      </w:r>
      <w:proofErr w:type="spellEnd"/>
      <w:r w:rsidRPr="00C04C4B">
        <w:rPr>
          <w:rFonts w:ascii="Garamond" w:hAnsi="Garamond" w:cs="Arial"/>
          <w:lang w:val="es-ES"/>
        </w:rPr>
        <w:t xml:space="preserve"> o gitana. Este porcentaje se definirá de acuerdo con la sumatoria de la nómina de cada uno de los integrantes del Proponente Plural.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palenquera, </w:t>
      </w:r>
      <w:proofErr w:type="spellStart"/>
      <w:r w:rsidRPr="00C04C4B">
        <w:rPr>
          <w:rFonts w:ascii="Garamond" w:hAnsi="Garamond" w:cs="Arial"/>
          <w:lang w:val="es-ES"/>
        </w:rPr>
        <w:t>Rrom</w:t>
      </w:r>
      <w:proofErr w:type="spellEnd"/>
      <w:r w:rsidRPr="00C04C4B">
        <w:rPr>
          <w:rFonts w:ascii="Garamond" w:hAnsi="Garamond" w:cs="Arial"/>
          <w:lang w:val="es-ES"/>
        </w:rPr>
        <w:t xml:space="preserve"> o gitana en los términos del Decreto Ley 2893 de 2011 o la norma que lo modifique, sustituya o complemente.</w:t>
      </w:r>
    </w:p>
    <w:p w14:paraId="60443F81" w14:textId="77777777" w:rsidR="00C04C4B" w:rsidRPr="00C04C4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lang w:val="es-ES"/>
        </w:rPr>
        <w:t xml:space="preserve">Debido a que para el otorgamiento de este criterio de desempate se entregan certificados que contienen datos </w:t>
      </w:r>
      <w:r w:rsidRPr="00C04C4B">
        <w:rPr>
          <w:rFonts w:ascii="Garamond" w:hAnsi="Garamond" w:cs="Arial"/>
          <w:lang w:val="es-ES"/>
        </w:rPr>
        <w:lastRenderedPageBreak/>
        <w:t xml:space="preserve">sensibles, de acuerdo con el artículo 5 de la Ley 1581 de 2012 o la norma que lo modifique, aclare, adicione o sustituya, se requiere que el titular de la información, como son las personas que pertenecen a la población indígena, negra, afrocolombiana, raizal, palenquera, </w:t>
      </w:r>
      <w:proofErr w:type="spellStart"/>
      <w:r w:rsidRPr="00C04C4B">
        <w:rPr>
          <w:rFonts w:ascii="Garamond" w:hAnsi="Garamond" w:cs="Arial"/>
          <w:lang w:val="es-ES"/>
        </w:rPr>
        <w:t>Rrom</w:t>
      </w:r>
      <w:proofErr w:type="spellEnd"/>
      <w:r w:rsidRPr="00C04C4B">
        <w:rPr>
          <w:rFonts w:ascii="Garamond" w:hAnsi="Garamond" w:cs="Arial"/>
          <w:lang w:val="es-ES"/>
        </w:rPr>
        <w:t xml:space="preserve"> o gitana,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w:t>
      </w:r>
    </w:p>
    <w:p w14:paraId="35451766" w14:textId="77777777" w:rsidR="00C04C4B" w:rsidRPr="00C04C4B" w:rsidRDefault="00C04C4B" w:rsidP="00A23238">
      <w:pPr>
        <w:widowControl/>
        <w:numPr>
          <w:ilvl w:val="0"/>
          <w:numId w:val="49"/>
        </w:numPr>
        <w:tabs>
          <w:tab w:val="left" w:pos="284"/>
          <w:tab w:val="left" w:pos="993"/>
        </w:tabs>
        <w:spacing w:after="200"/>
        <w:ind w:left="0" w:right="49" w:firstLine="0"/>
        <w:jc w:val="both"/>
        <w:rPr>
          <w:rFonts w:ascii="Garamond" w:hAnsi="Garamond" w:cs="Arial"/>
          <w:lang w:val="es-ES"/>
        </w:rPr>
      </w:pPr>
      <w:r w:rsidRPr="00C04C4B">
        <w:rPr>
          <w:rFonts w:ascii="Garamond" w:hAnsi="Garamond" w:cs="Arial"/>
          <w:lang w:val="es-ES"/>
        </w:rPr>
        <w:t xml:space="preserve">Preferir la propuesta de personas naturales en proceso de reintegración o reincorporación para lo cual presentará copia de alguno de los siguientes documentos: i) la certificación en las desmovilizaciones colectivas que expida la Oficina del Alto Comisionado para la Paz, </w:t>
      </w:r>
      <w:proofErr w:type="spellStart"/>
      <w:r w:rsidRPr="00C04C4B">
        <w:rPr>
          <w:rFonts w:ascii="Garamond" w:hAnsi="Garamond" w:cs="Arial"/>
          <w:lang w:val="es-ES"/>
        </w:rPr>
        <w:t>ii</w:t>
      </w:r>
      <w:proofErr w:type="spellEnd"/>
      <w:r w:rsidRPr="00C04C4B">
        <w:rPr>
          <w:rFonts w:ascii="Garamond" w:hAnsi="Garamond" w:cs="Arial"/>
          <w:lang w:val="es-ES"/>
        </w:rPr>
        <w:t xml:space="preserve">) el certificado que emita el Comité Operativo para la Dejación de las Armas respecto de las personas desmovilizadas en forma individual, </w:t>
      </w:r>
      <w:proofErr w:type="spellStart"/>
      <w:r w:rsidRPr="00C04C4B">
        <w:rPr>
          <w:rFonts w:ascii="Garamond" w:hAnsi="Garamond" w:cs="Arial"/>
          <w:lang w:val="es-ES"/>
        </w:rPr>
        <w:t>iii</w:t>
      </w:r>
      <w:proofErr w:type="spellEnd"/>
      <w:r w:rsidRPr="00C04C4B">
        <w:rPr>
          <w:rFonts w:ascii="Garamond" w:hAnsi="Garamond" w:cs="Arial"/>
          <w:lang w:val="es-ES"/>
        </w:rPr>
        <w:t xml:space="preserve">) el certificado que emita la Agencia para la Reincorporación y la Normalización que acredite que la persona se encuentra en proceso de reincorporación o reintegración o </w:t>
      </w:r>
      <w:proofErr w:type="spellStart"/>
      <w:r w:rsidRPr="00C04C4B">
        <w:rPr>
          <w:rFonts w:ascii="Garamond" w:hAnsi="Garamond" w:cs="Arial"/>
          <w:lang w:val="es-ES"/>
        </w:rPr>
        <w:t>iv</w:t>
      </w:r>
      <w:proofErr w:type="spellEnd"/>
      <w:r w:rsidRPr="00C04C4B">
        <w:rPr>
          <w:rFonts w:ascii="Garamond" w:hAnsi="Garamond" w:cs="Arial"/>
          <w:lang w:val="es-ES"/>
        </w:rPr>
        <w:t>) cualquier otro certificado que para el efecto determine la Ley. Además, se entregará copia del documento de identificación de la persona en proceso de reintegración o reincorporación.</w:t>
      </w:r>
    </w:p>
    <w:p w14:paraId="369F6E3C" w14:textId="77777777" w:rsidR="00C04C4B" w:rsidRPr="00C04C4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lang w:val="es-ES"/>
        </w:rPr>
        <w:t>En el caso de las personas jurídicas, el representante legal o el revisor fiscal, si están obligados a tenerlo, diligenciarán el “Formato 10E -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y/o reincorporación. Además, deberá aportar alguno de los certificados del inciso anterior, junto con los documentos de identificación de cada una de las personas que está en proceso de reincorporación y/o reintegración.</w:t>
      </w:r>
    </w:p>
    <w:p w14:paraId="1D54C6E5" w14:textId="77777777" w:rsidR="00C04C4B" w:rsidRPr="00C04C4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lang w:val="es-ES"/>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10E - Participación mayoritaria de personas en proceso de reincorporación (personas jurídica integrante del Proponente Plural)”, y aportará los documentos de identificación de las personas en proceso de reincorporación.</w:t>
      </w:r>
    </w:p>
    <w:p w14:paraId="585F0386" w14:textId="77777777" w:rsidR="00C04C4B" w:rsidRPr="00C04C4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lang w:val="es-ES"/>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 </w:t>
      </w:r>
    </w:p>
    <w:p w14:paraId="50171EB2" w14:textId="77777777" w:rsidR="00C04C4B" w:rsidRPr="00C04C4B" w:rsidRDefault="00C04C4B" w:rsidP="00A23238">
      <w:pPr>
        <w:widowControl/>
        <w:numPr>
          <w:ilvl w:val="0"/>
          <w:numId w:val="49"/>
        </w:numPr>
        <w:tabs>
          <w:tab w:val="left" w:pos="284"/>
          <w:tab w:val="left" w:pos="993"/>
        </w:tabs>
        <w:spacing w:after="200"/>
        <w:ind w:left="0" w:right="49" w:firstLine="0"/>
        <w:jc w:val="both"/>
        <w:rPr>
          <w:rFonts w:ascii="Garamond" w:hAnsi="Garamond" w:cs="Arial"/>
          <w:lang w:val="es-ES"/>
        </w:rPr>
      </w:pPr>
      <w:r w:rsidRPr="00C04C4B">
        <w:rPr>
          <w:rFonts w:ascii="Garamond" w:hAnsi="Garamond" w:cs="Arial"/>
          <w:lang w:val="es-ES"/>
        </w:rPr>
        <w:t xml:space="preserve"> Preferir la oferta presentada por un Proponente Plural siempre que se cumplan las condiciones de los siguientes literales:</w:t>
      </w:r>
    </w:p>
    <w:p w14:paraId="22016589" w14:textId="77777777" w:rsidR="00C04C4B" w:rsidRPr="00C04C4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lang w:val="es-ES"/>
        </w:rPr>
        <w:lastRenderedPageBreak/>
        <w:t xml:space="preserve">(a) Esté conformado por al menos una madre cabeza de familia y/o una persona en proceso de reincorporación o reintegración, para lo cual se acreditarán estas condiciones de acuerdo con lo previsto en el inciso 1 del </w:t>
      </w:r>
      <w:proofErr w:type="spellStart"/>
      <w:r w:rsidRPr="00C04C4B">
        <w:rPr>
          <w:rFonts w:ascii="Garamond" w:hAnsi="Garamond" w:cs="Arial"/>
          <w:lang w:val="es-ES"/>
        </w:rPr>
        <w:t>subnumeral</w:t>
      </w:r>
      <w:proofErr w:type="spellEnd"/>
      <w:r w:rsidRPr="00C04C4B">
        <w:rPr>
          <w:rFonts w:ascii="Garamond" w:hAnsi="Garamond" w:cs="Arial"/>
          <w:lang w:val="es-ES"/>
        </w:rPr>
        <w:t xml:space="preserve"> 2 y/o el inciso 1 del </w:t>
      </w:r>
      <w:proofErr w:type="spellStart"/>
      <w:r w:rsidRPr="00C04C4B">
        <w:rPr>
          <w:rFonts w:ascii="Garamond" w:hAnsi="Garamond" w:cs="Arial"/>
          <w:lang w:val="es-ES"/>
        </w:rPr>
        <w:t>subnumeral</w:t>
      </w:r>
      <w:proofErr w:type="spellEnd"/>
      <w:r w:rsidRPr="00C04C4B">
        <w:rPr>
          <w:rFonts w:ascii="Garamond" w:hAnsi="Garamond" w:cs="Arial"/>
          <w:lang w:val="es-ES"/>
        </w:rPr>
        <w:t xml:space="preserve"> 6 del numeral 4.8.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10F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p>
    <w:p w14:paraId="2AA10E90" w14:textId="77777777" w:rsidR="00C04C4B" w:rsidRPr="00C04C4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lang w:val="es-ES"/>
        </w:rPr>
        <w:t xml:space="preserve">(b) el integrante del Proponente Plural de que trata el anterior literal debe aportar mínimo el veinticinco por ciento (25 %) de la experiencia acreditada en la oferta. </w:t>
      </w:r>
    </w:p>
    <w:p w14:paraId="7FB88353" w14:textId="77777777" w:rsidR="00C04C4B" w:rsidRPr="00C04C4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lang w:val="es-ES"/>
        </w:rPr>
        <w:t xml:space="preserve">(c) 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10F - Participación mayoritaria de mujeres cabeza de familia y/o personas en proceso de reincorporación y/o reintegración (personas jurídicas)“. </w:t>
      </w:r>
    </w:p>
    <w:p w14:paraId="6492FF43" w14:textId="77777777" w:rsidR="00C04C4B" w:rsidRPr="00C04C4B" w:rsidRDefault="00C04C4B" w:rsidP="00C04C4B">
      <w:pPr>
        <w:tabs>
          <w:tab w:val="left" w:pos="284"/>
          <w:tab w:val="left" w:pos="993"/>
        </w:tabs>
        <w:spacing w:after="120"/>
        <w:ind w:right="49"/>
        <w:jc w:val="both"/>
        <w:rPr>
          <w:rFonts w:ascii="Garamond" w:hAnsi="Garamond" w:cs="Arial"/>
          <w:lang w:val="es-ES"/>
        </w:rPr>
      </w:pPr>
      <w:r w:rsidRPr="00C04C4B">
        <w:rPr>
          <w:rFonts w:ascii="Garamond" w:hAnsi="Garamond" w:cs="Arial"/>
          <w:lang w:val="es-ES"/>
        </w:rPr>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11- Autorización para el tratamiento de datos personales”, mediante el cual autoriza de manera previa y expresa el tratamiento de esta información, como requisito para el otorgamiento del criterio de desempate. </w:t>
      </w:r>
    </w:p>
    <w:p w14:paraId="76578DC5" w14:textId="77777777" w:rsidR="00C04C4B" w:rsidRPr="00C04C4B" w:rsidRDefault="00C04C4B" w:rsidP="00A23238">
      <w:pPr>
        <w:widowControl/>
        <w:numPr>
          <w:ilvl w:val="0"/>
          <w:numId w:val="49"/>
        </w:numPr>
        <w:tabs>
          <w:tab w:val="left" w:pos="284"/>
          <w:tab w:val="left" w:pos="993"/>
        </w:tabs>
        <w:spacing w:after="120"/>
        <w:ind w:left="0" w:right="49" w:firstLine="0"/>
        <w:jc w:val="both"/>
        <w:rPr>
          <w:rFonts w:ascii="Garamond" w:hAnsi="Garamond" w:cs="Arial"/>
          <w:lang w:val="es-ES"/>
        </w:rPr>
      </w:pPr>
      <w:r w:rsidRPr="00C04C4B">
        <w:rPr>
          <w:rFonts w:ascii="Garamond" w:hAnsi="Garamond" w:cs="Arial"/>
          <w:lang w:val="es-ES"/>
        </w:rPr>
        <w:t xml:space="preserve">Preferir la oferta presentada por una </w:t>
      </w:r>
      <w:proofErr w:type="spellStart"/>
      <w:r w:rsidRPr="00C04C4B">
        <w:rPr>
          <w:rFonts w:ascii="Garamond" w:hAnsi="Garamond" w:cs="Arial"/>
          <w:lang w:val="es-ES"/>
        </w:rPr>
        <w:t>Mipyme</w:t>
      </w:r>
      <w:proofErr w:type="spellEnd"/>
      <w:r w:rsidRPr="00C04C4B">
        <w:rPr>
          <w:rFonts w:ascii="Garamond" w:hAnsi="Garamond" w:cs="Arial"/>
          <w:lang w:val="es-ES"/>
        </w:rPr>
        <w:t>,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w:t>
      </w:r>
      <w:proofErr w:type="spellStart"/>
      <w:r w:rsidRPr="00C04C4B">
        <w:rPr>
          <w:rFonts w:ascii="Garamond" w:hAnsi="Garamond" w:cs="Arial"/>
          <w:lang w:val="es-ES"/>
        </w:rPr>
        <w:t>RUP</w:t>
      </w:r>
      <w:proofErr w:type="spellEnd"/>
      <w:r w:rsidRPr="00C04C4B">
        <w:rPr>
          <w:rFonts w:ascii="Garamond" w:hAnsi="Garamond" w:cs="Arial"/>
          <w:lang w:val="es-ES"/>
        </w:rPr>
        <w:t>), el cual deberá encontrarse vigente y en firme al momento de su presentación.</w:t>
      </w:r>
    </w:p>
    <w:p w14:paraId="17E6B601" w14:textId="77777777" w:rsidR="00C04C4B" w:rsidRPr="00C04C4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lang w:val="es-ES"/>
        </w:rPr>
        <w:t xml:space="preserve">Asimismo, se preferirá la oferta presentada por una cooperativa o asociaciones mutuales para lo cual se aportará el certificado de existencia y representación legal expedido por la cámara de comercio o la autoridad respectiva. En el caso </w:t>
      </w:r>
      <w:r w:rsidRPr="00C04C4B" w:rsidDel="00C91E2F">
        <w:rPr>
          <w:rFonts w:ascii="Garamond" w:hAnsi="Garamond" w:cs="Arial"/>
          <w:lang w:val="es-ES"/>
        </w:rPr>
        <w:t xml:space="preserve">específico </w:t>
      </w:r>
      <w:r w:rsidRPr="00C04C4B">
        <w:rPr>
          <w:rFonts w:ascii="Garamond" w:hAnsi="Garamond" w:cs="Arial"/>
          <w:lang w:val="es-ES"/>
        </w:rPr>
        <w:t xml:space="preserve">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w:t>
      </w:r>
      <w:r w:rsidRPr="00C04C4B">
        <w:rPr>
          <w:rFonts w:ascii="Garamond" w:hAnsi="Garamond" w:cs="Arial"/>
          <w:lang w:val="es-ES"/>
        </w:rPr>
        <w:lastRenderedPageBreak/>
        <w:t>medianas.</w:t>
      </w:r>
    </w:p>
    <w:p w14:paraId="08E10C86" w14:textId="77777777" w:rsidR="00C04C4B" w:rsidRPr="00C04C4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lang w:val="es-ES"/>
        </w:rPr>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3CAA2115" w14:textId="77777777" w:rsidR="00C04C4B" w:rsidRPr="00C04C4B" w:rsidRDefault="00C04C4B" w:rsidP="00A23238">
      <w:pPr>
        <w:widowControl/>
        <w:numPr>
          <w:ilvl w:val="0"/>
          <w:numId w:val="49"/>
        </w:numPr>
        <w:tabs>
          <w:tab w:val="left" w:pos="284"/>
          <w:tab w:val="left" w:pos="993"/>
        </w:tabs>
        <w:spacing w:after="120"/>
        <w:ind w:left="0" w:right="49" w:firstLine="0"/>
        <w:jc w:val="both"/>
        <w:rPr>
          <w:rFonts w:ascii="Garamond" w:hAnsi="Garamond" w:cs="Arial"/>
          <w:lang w:val="es-ES"/>
        </w:rPr>
      </w:pPr>
      <w:r w:rsidRPr="00C04C4B">
        <w:rPr>
          <w:rFonts w:ascii="Garamond" w:hAnsi="Garamond" w:cs="Arial"/>
          <w:lang w:val="es-ES"/>
        </w:rPr>
        <w:t xml:space="preserve">Preferir la oferta presentada por el Proponente Plural constituido en su totalidad por micro y/o pequeñas empresas, cooperativas o asociaciones mutuales. </w:t>
      </w:r>
    </w:p>
    <w:p w14:paraId="65C40981" w14:textId="77777777" w:rsidR="00C04C4B" w:rsidRPr="00C04C4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lang w:val="es-ES"/>
        </w:rPr>
        <w:t>La condición de micro o pequeña empresa se verificará en los términos del artículo 2.2.1.2.4.2.4 del Decreto 1082 de 2015, en concordancia con el parágrafo del artículo 2.2.1.13.2.4 del Decreto 1074 de 2015, esto es, el tamaño empresarial se acreditará con la copia del certificado del Registro Único de Proponentes (</w:t>
      </w:r>
      <w:proofErr w:type="spellStart"/>
      <w:r w:rsidRPr="00C04C4B">
        <w:rPr>
          <w:rFonts w:ascii="Garamond" w:hAnsi="Garamond" w:cs="Arial"/>
          <w:lang w:val="es-ES"/>
        </w:rPr>
        <w:t>RUP</w:t>
      </w:r>
      <w:proofErr w:type="spellEnd"/>
      <w:r w:rsidRPr="00C04C4B">
        <w:rPr>
          <w:rFonts w:ascii="Garamond" w:hAnsi="Garamond" w:cs="Arial"/>
          <w:lang w:val="es-ES"/>
        </w:rPr>
        <w:t>), el cual deberá encontrarse vigente y en firme al momento de su presentación.</w:t>
      </w:r>
    </w:p>
    <w:p w14:paraId="2CAD82C4" w14:textId="77777777" w:rsidR="00C04C4B" w:rsidRPr="00C04C4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lang w:val="es-ES"/>
        </w:rPr>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177E5812" w14:textId="77777777" w:rsidR="00C04C4B" w:rsidRPr="00C04C4B" w:rsidRDefault="00C04C4B" w:rsidP="00A23238">
      <w:pPr>
        <w:widowControl/>
        <w:numPr>
          <w:ilvl w:val="0"/>
          <w:numId w:val="49"/>
        </w:numPr>
        <w:tabs>
          <w:tab w:val="left" w:pos="284"/>
          <w:tab w:val="left" w:pos="993"/>
        </w:tabs>
        <w:spacing w:after="120"/>
        <w:ind w:left="0" w:right="49" w:firstLine="0"/>
        <w:jc w:val="both"/>
        <w:rPr>
          <w:rFonts w:ascii="Garamond" w:hAnsi="Garamond" w:cs="Arial"/>
          <w:lang w:val="es-ES"/>
        </w:rPr>
      </w:pPr>
      <w:r w:rsidRPr="00C04C4B">
        <w:rPr>
          <w:rFonts w:ascii="Garamond" w:hAnsi="Garamond" w:cs="Arial"/>
          <w:lang w:val="es-ES"/>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w:t>
      </w:r>
      <w:proofErr w:type="spellStart"/>
      <w:r w:rsidRPr="00C04C4B">
        <w:rPr>
          <w:rFonts w:ascii="Garamond" w:hAnsi="Garamond" w:cs="Arial"/>
          <w:lang w:val="es-ES"/>
        </w:rPr>
        <w:t>Mipyme</w:t>
      </w:r>
      <w:proofErr w:type="spellEnd"/>
      <w:r w:rsidRPr="00C04C4B">
        <w:rPr>
          <w:rFonts w:ascii="Garamond" w:hAnsi="Garamond" w:cs="Arial"/>
          <w:lang w:val="es-ES"/>
        </w:rPr>
        <w:t xml:space="preserv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del juramento el “Formato 10 G- Pagos realizados a </w:t>
      </w:r>
      <w:proofErr w:type="spellStart"/>
      <w:r w:rsidRPr="00C04C4B">
        <w:rPr>
          <w:rFonts w:ascii="Garamond" w:hAnsi="Garamond" w:cs="Arial"/>
          <w:lang w:val="es-ES"/>
        </w:rPr>
        <w:t>Mipyme</w:t>
      </w:r>
      <w:proofErr w:type="spellEnd"/>
      <w:r w:rsidRPr="00C04C4B">
        <w:rPr>
          <w:rFonts w:ascii="Garamond" w:hAnsi="Garamond" w:cs="Arial"/>
          <w:lang w:val="es-ES"/>
        </w:rPr>
        <w:t xml:space="preserve">, cooperativas o asociaciones mutuales”, en el que conste que por lo menos el veinticinco por ciento (25 %) del total de pagos fueron realizados a </w:t>
      </w:r>
      <w:proofErr w:type="spellStart"/>
      <w:r w:rsidRPr="00C04C4B">
        <w:rPr>
          <w:rFonts w:ascii="Garamond" w:hAnsi="Garamond" w:cs="Arial"/>
          <w:lang w:val="es-ES"/>
        </w:rPr>
        <w:t>Mipyme</w:t>
      </w:r>
      <w:proofErr w:type="spellEnd"/>
      <w:r w:rsidRPr="00C04C4B">
        <w:rPr>
          <w:rFonts w:ascii="Garamond" w:hAnsi="Garamond" w:cs="Arial"/>
          <w:lang w:val="es-ES"/>
        </w:rPr>
        <w:t xml:space="preserve">, cooperativas o asociaciones mutuales. </w:t>
      </w:r>
    </w:p>
    <w:p w14:paraId="65056D39" w14:textId="77777777" w:rsidR="00C04C4B" w:rsidRPr="00C04C4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lang w:val="es-ES"/>
        </w:rPr>
        <w:t xml:space="preserve">Igualmente, cuando la oferta es presentada por un Proponente Plural se preferirá a este siempre que: </w:t>
      </w:r>
    </w:p>
    <w:p w14:paraId="1C3C16E0" w14:textId="77777777" w:rsidR="00C04C4B" w:rsidRPr="00C04C4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lang w:val="es-ES"/>
        </w:rPr>
        <w:t xml:space="preserve">(a) esté conformado por al menos una </w:t>
      </w:r>
      <w:proofErr w:type="spellStart"/>
      <w:r w:rsidRPr="00C04C4B">
        <w:rPr>
          <w:rFonts w:ascii="Garamond" w:hAnsi="Garamond" w:cs="Arial"/>
          <w:lang w:val="es-ES"/>
        </w:rPr>
        <w:t>Mipyme</w:t>
      </w:r>
      <w:proofErr w:type="spellEnd"/>
      <w:r w:rsidRPr="00C04C4B">
        <w:rPr>
          <w:rFonts w:ascii="Garamond" w:hAnsi="Garamond" w:cs="Arial"/>
          <w:lang w:val="es-ES"/>
        </w:rPr>
        <w:t xml:space="preserve">, cooperativa o asociación mutual que tenga una participación de por lo menos el veinticinco por ciento (25 %) en el Proponente Plural, para lo cual se presentará el documento de conformación del Proponente Plural y, además, ese integrante acredite la condición de </w:t>
      </w:r>
      <w:proofErr w:type="spellStart"/>
      <w:r w:rsidRPr="00C04C4B">
        <w:rPr>
          <w:rFonts w:ascii="Garamond" w:hAnsi="Garamond" w:cs="Arial"/>
          <w:lang w:val="es-ES"/>
        </w:rPr>
        <w:t>Mipyme</w:t>
      </w:r>
      <w:proofErr w:type="spellEnd"/>
      <w:r w:rsidRPr="00C04C4B">
        <w:rPr>
          <w:rFonts w:ascii="Garamond" w:hAnsi="Garamond" w:cs="Arial"/>
          <w:lang w:val="es-ES"/>
        </w:rPr>
        <w:t xml:space="preserve">, </w:t>
      </w:r>
      <w:r w:rsidRPr="00C04C4B">
        <w:rPr>
          <w:rFonts w:ascii="Garamond" w:hAnsi="Garamond" w:cs="Arial"/>
          <w:lang w:val="es-ES"/>
        </w:rPr>
        <w:lastRenderedPageBreak/>
        <w:t xml:space="preserve">cooperativa o asociación mutual en los términos del </w:t>
      </w:r>
      <w:proofErr w:type="spellStart"/>
      <w:r w:rsidRPr="00C04C4B">
        <w:rPr>
          <w:rFonts w:ascii="Garamond" w:hAnsi="Garamond" w:cs="Arial"/>
          <w:lang w:val="es-ES"/>
        </w:rPr>
        <w:t>subnumeral</w:t>
      </w:r>
      <w:proofErr w:type="spellEnd"/>
      <w:r w:rsidRPr="00C04C4B">
        <w:rPr>
          <w:rFonts w:ascii="Garamond" w:hAnsi="Garamond" w:cs="Arial"/>
          <w:lang w:val="es-ES"/>
        </w:rPr>
        <w:t xml:space="preserve"> 8;</w:t>
      </w:r>
    </w:p>
    <w:p w14:paraId="484649D2" w14:textId="77777777" w:rsidR="00C04C4B" w:rsidRPr="00C04C4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lang w:val="es-ES"/>
        </w:rPr>
        <w:t xml:space="preserve">(b) la </w:t>
      </w:r>
      <w:proofErr w:type="spellStart"/>
      <w:r w:rsidRPr="00C04C4B">
        <w:rPr>
          <w:rFonts w:ascii="Garamond" w:hAnsi="Garamond" w:cs="Arial"/>
          <w:lang w:val="es-ES"/>
        </w:rPr>
        <w:t>Mipyme</w:t>
      </w:r>
      <w:proofErr w:type="spellEnd"/>
      <w:r w:rsidRPr="00C04C4B">
        <w:rPr>
          <w:rFonts w:ascii="Garamond" w:hAnsi="Garamond" w:cs="Arial"/>
          <w:lang w:val="es-ES"/>
        </w:rPr>
        <w:t xml:space="preserve">, cooperativa o asociación mutual aporte mínimo el veinticinco por ciento (25 %) de la experiencia acreditada en la oferta; y </w:t>
      </w:r>
    </w:p>
    <w:p w14:paraId="4B8ACAD7" w14:textId="77777777" w:rsidR="00C04C4B" w:rsidRPr="00C04C4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lang w:val="es-ES"/>
        </w:rPr>
        <w:t xml:space="preserve">(c) ni la </w:t>
      </w:r>
      <w:proofErr w:type="spellStart"/>
      <w:r w:rsidRPr="00C04C4B">
        <w:rPr>
          <w:rFonts w:ascii="Garamond" w:hAnsi="Garamond" w:cs="Arial"/>
          <w:lang w:val="es-ES"/>
        </w:rPr>
        <w:t>Mipyme</w:t>
      </w:r>
      <w:proofErr w:type="spellEnd"/>
      <w:r w:rsidRPr="00C04C4B">
        <w:rPr>
          <w:rFonts w:ascii="Garamond" w:hAnsi="Garamond" w:cs="Arial"/>
          <w:lang w:val="es-ES"/>
        </w:rPr>
        <w:t xml:space="preserve">, cooperativa o asociación mutual ni sus accionistas, socios o representantes legales sean empleados, socios o accionistas de los integrantes del Proponente Plural, para lo cual el integrante respectivo lo manifestará diligenciando el “Formato 10 H – Acreditación </w:t>
      </w:r>
      <w:proofErr w:type="spellStart"/>
      <w:r w:rsidRPr="00C04C4B">
        <w:rPr>
          <w:rFonts w:ascii="Garamond" w:hAnsi="Garamond" w:cs="Arial"/>
          <w:lang w:val="es-ES"/>
        </w:rPr>
        <w:t>Mipyme</w:t>
      </w:r>
      <w:proofErr w:type="spellEnd"/>
      <w:r w:rsidRPr="00C04C4B">
        <w:rPr>
          <w:rFonts w:ascii="Garamond" w:hAnsi="Garamond" w:cs="Arial"/>
          <w:lang w:val="es-ES"/>
        </w:rPr>
        <w:t xml:space="preserve">”, suscrito por la persona natural o el representante legal de la persona jurídica. </w:t>
      </w:r>
    </w:p>
    <w:p w14:paraId="269473DF" w14:textId="77777777" w:rsidR="00C04C4B" w:rsidRPr="00C04C4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lang w:val="es-ES"/>
        </w:rPr>
        <w:t>En el evento en que el empate se presente entre Proponentes Plurales, que cumplan con los requisitos de los incisos anteriores, cuyos integrantes estén conformados únicamente por cooperativas y asociaciones mutuales que tengan la condición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282DFCB8" w14:textId="77777777" w:rsidR="00C04C4B" w:rsidRPr="00C04C4B" w:rsidRDefault="00C04C4B" w:rsidP="00A23238">
      <w:pPr>
        <w:widowControl/>
        <w:numPr>
          <w:ilvl w:val="0"/>
          <w:numId w:val="49"/>
        </w:numPr>
        <w:tabs>
          <w:tab w:val="left" w:pos="284"/>
          <w:tab w:val="left" w:pos="993"/>
        </w:tabs>
        <w:spacing w:after="120"/>
        <w:ind w:left="0" w:right="49" w:firstLine="0"/>
        <w:jc w:val="both"/>
        <w:rPr>
          <w:rFonts w:ascii="Garamond" w:hAnsi="Garamond" w:cs="Arial"/>
          <w:lang w:val="es-ES"/>
        </w:rPr>
      </w:pPr>
      <w:r w:rsidRPr="00C04C4B">
        <w:rPr>
          <w:rFonts w:ascii="Garamond" w:hAnsi="Garamond" w:cs="Arial"/>
          <w:lang w:val="es-ES"/>
        </w:rPr>
        <w:t xml:space="preserve">Preferir las empresas reconocidas y establecidas como Sociedad de Beneficio e Interés Colectivo o Sociedad BIC, del segmento </w:t>
      </w:r>
      <w:proofErr w:type="spellStart"/>
      <w:r w:rsidRPr="00C04C4B">
        <w:rPr>
          <w:rFonts w:ascii="Garamond" w:hAnsi="Garamond" w:cs="Arial"/>
          <w:lang w:val="es-ES"/>
        </w:rPr>
        <w:t>Mipyme</w:t>
      </w:r>
      <w:proofErr w:type="spellEnd"/>
      <w:r w:rsidRPr="00C04C4B">
        <w:rPr>
          <w:rFonts w:ascii="Garamond" w:hAnsi="Garamond" w:cs="Arial"/>
          <w:lang w:val="es-ES"/>
        </w:rPr>
        <w:t xml:space="preserve">, para lo cual se presentará el certificado de existencia y representación legal en el que conste el cumplimiento de los requisitos del artículo 2 de la Ley 1901 de 2018, o la norma que la modifique o la sustituya. Asimismo, acreditará la condición de </w:t>
      </w:r>
      <w:proofErr w:type="spellStart"/>
      <w:r w:rsidRPr="00C04C4B">
        <w:rPr>
          <w:rFonts w:ascii="Garamond" w:hAnsi="Garamond" w:cs="Arial"/>
          <w:lang w:val="es-ES"/>
        </w:rPr>
        <w:t>Mipyme</w:t>
      </w:r>
      <w:proofErr w:type="spellEnd"/>
      <w:r w:rsidRPr="00C04C4B">
        <w:rPr>
          <w:rFonts w:ascii="Garamond" w:hAnsi="Garamond" w:cs="Arial"/>
          <w:lang w:val="es-ES"/>
        </w:rPr>
        <w:t xml:space="preserve"> en los términos del </w:t>
      </w:r>
      <w:proofErr w:type="spellStart"/>
      <w:r w:rsidRPr="00C04C4B">
        <w:rPr>
          <w:rFonts w:ascii="Garamond" w:hAnsi="Garamond" w:cs="Arial"/>
          <w:lang w:val="es-ES"/>
        </w:rPr>
        <w:t>subnumeral</w:t>
      </w:r>
      <w:proofErr w:type="spellEnd"/>
      <w:r w:rsidRPr="00C04C4B">
        <w:rPr>
          <w:rFonts w:ascii="Garamond" w:hAnsi="Garamond" w:cs="Arial"/>
          <w:lang w:val="es-ES"/>
        </w:rPr>
        <w:t xml:space="preserve"> 8. </w:t>
      </w:r>
    </w:p>
    <w:p w14:paraId="0744D5FF" w14:textId="77777777" w:rsidR="00C04C4B" w:rsidRPr="00C04C4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lang w:val="es-ES"/>
        </w:rPr>
        <w:t>Tratándose de Proponentes Plurales, se preferirá la oferta cuando cada uno de los integrantes acredite las condiciones señaladas en el inciso anterior de este numeral.</w:t>
      </w:r>
    </w:p>
    <w:p w14:paraId="76D23F1F" w14:textId="77777777" w:rsidR="00C04C4B" w:rsidRPr="00C04C4B" w:rsidRDefault="00C04C4B" w:rsidP="00A23238">
      <w:pPr>
        <w:widowControl/>
        <w:numPr>
          <w:ilvl w:val="0"/>
          <w:numId w:val="49"/>
        </w:numPr>
        <w:tabs>
          <w:tab w:val="left" w:pos="284"/>
          <w:tab w:val="left" w:pos="993"/>
        </w:tabs>
        <w:spacing w:after="160" w:line="276" w:lineRule="auto"/>
        <w:ind w:left="142" w:right="49"/>
        <w:jc w:val="both"/>
        <w:rPr>
          <w:rFonts w:ascii="Garamond" w:eastAsia="Calibri" w:hAnsi="Garamond" w:cs="Arial"/>
          <w:lang w:val="es-MX"/>
        </w:rPr>
      </w:pPr>
      <w:r w:rsidRPr="00C04C4B">
        <w:rPr>
          <w:rFonts w:ascii="Garamond" w:eastAsia="Calibri" w:hAnsi="Garamond" w:cs="Arial"/>
          <w:lang w:val="es-MX"/>
        </w:rPr>
        <w:t>Preferir la propuesta presentada por personas que acrediten: (a) ser jóvenes Egresados del Sistema de Protección del ICBF en las condiciones establecidas en la ley; o (b) de la persona jurídica en la cual participe o participen mayoritariamente, es decir, que más del cincuenta por ciento (50%) de la composición accionaria o cuota parte de la persona jurídica está constituida por jóvenes egresados del Sistema de Protección del ICBF; o, (c) la oferta presentada por de un proponente plural con una participación de al menos un veinticinco por ciento (25%) de una persona que acredite ser Egresado del Sistema de Protección del ICBF o una persona jurídica en las cuales se acredite participación mayoritaria de jóvenes egresados del Sistema de Protección del ICBF. Dicha calidad se acreditará por la Entidad competente.</w:t>
      </w:r>
    </w:p>
    <w:p w14:paraId="7ACC7DE5" w14:textId="77777777" w:rsidR="00C04C4B" w:rsidRPr="00C04C4B" w:rsidRDefault="00C04C4B" w:rsidP="00C04C4B">
      <w:pPr>
        <w:tabs>
          <w:tab w:val="left" w:pos="284"/>
          <w:tab w:val="left" w:pos="993"/>
        </w:tabs>
        <w:spacing w:after="120"/>
        <w:ind w:right="49"/>
        <w:jc w:val="both"/>
        <w:rPr>
          <w:rFonts w:ascii="Garamond" w:hAnsi="Garamond" w:cs="Arial"/>
          <w:lang w:val="es-ES"/>
        </w:rPr>
      </w:pPr>
    </w:p>
    <w:p w14:paraId="1206C14A" w14:textId="77777777" w:rsidR="00C04C4B" w:rsidRPr="00C04C4B" w:rsidRDefault="00C04C4B" w:rsidP="00A23238">
      <w:pPr>
        <w:widowControl/>
        <w:numPr>
          <w:ilvl w:val="0"/>
          <w:numId w:val="49"/>
        </w:numPr>
        <w:tabs>
          <w:tab w:val="left" w:pos="284"/>
          <w:tab w:val="left" w:pos="426"/>
        </w:tabs>
        <w:spacing w:after="120"/>
        <w:ind w:left="0" w:right="49" w:firstLine="0"/>
        <w:jc w:val="both"/>
        <w:rPr>
          <w:rFonts w:ascii="Garamond" w:hAnsi="Garamond" w:cs="Arial"/>
          <w:lang w:val="es-ES"/>
        </w:rPr>
      </w:pPr>
      <w:r w:rsidRPr="00C04C4B">
        <w:rPr>
          <w:rFonts w:ascii="Garamond" w:hAnsi="Garamond" w:cs="Arial"/>
          <w:lang w:val="es-ES"/>
        </w:rPr>
        <w:t>Si después de aplicar los criterios anteriormente mencionados persiste el empate:</w:t>
      </w:r>
    </w:p>
    <w:p w14:paraId="2831FA8B" w14:textId="77777777" w:rsidR="00C04C4B" w:rsidRPr="00C04C4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lang w:val="es-ES"/>
        </w:rPr>
        <w:t>(a) La Entidad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p>
    <w:p w14:paraId="206564FD" w14:textId="77777777" w:rsidR="00C04C4B" w:rsidRPr="00C04C4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lang w:val="es-ES"/>
        </w:rPr>
        <w:lastRenderedPageBreak/>
        <w:t xml:space="preserve">(b) Seguidamente, la Entidad debe tomar la parte entera (números a la izquierda de la coma decimal) de la </w:t>
      </w:r>
      <w:proofErr w:type="spellStart"/>
      <w:r w:rsidRPr="00C04C4B">
        <w:rPr>
          <w:rFonts w:ascii="Garamond" w:hAnsi="Garamond" w:cs="Arial"/>
          <w:lang w:val="es-ES"/>
        </w:rPr>
        <w:t>TRM</w:t>
      </w:r>
      <w:proofErr w:type="spellEnd"/>
      <w:r w:rsidRPr="00C04C4B">
        <w:rPr>
          <w:rFonts w:ascii="Garamond" w:hAnsi="Garamond" w:cs="Arial"/>
          <w:lang w:val="es-ES"/>
        </w:rPr>
        <w:t xml:space="preserve"> que rigió el día del cierre del proceso. La Entidad debe dividir esta parte entera entre el número total de Proponentes en empate, para posteriormente tomar su residuo y utilizarlo en la selección final.</w:t>
      </w:r>
    </w:p>
    <w:p w14:paraId="6CE0041E" w14:textId="77777777" w:rsidR="00C04C4B" w:rsidRPr="00C04C4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lang w:val="es-ES"/>
        </w:rPr>
        <w:t>(c) Realizados estos cálculos, la Entidad seleccionará a aquel Proponente que presente coincidencia entre el número asignado y el residuo encontrado. En caso de que el residuo sea cero (0) se escogerá al Proponente con el mayor número asignado.</w:t>
      </w:r>
    </w:p>
    <w:p w14:paraId="690AD44E" w14:textId="77777777" w:rsidR="00C04C4B" w:rsidRPr="00C04C4B" w:rsidDel="00D83B3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b/>
          <w:bCs/>
          <w:lang w:val="es-ES"/>
        </w:rPr>
        <w:t>Nota 15</w:t>
      </w:r>
      <w:r w:rsidRPr="00C04C4B">
        <w:rPr>
          <w:rFonts w:ascii="Garamond" w:hAnsi="Garamond" w:cs="Arial"/>
          <w:lang w:val="es-ES"/>
        </w:rPr>
        <w:t>: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5F7F9345" w14:textId="77777777" w:rsidR="00C04C4B" w:rsidRPr="00C04C4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b/>
          <w:bCs/>
          <w:lang w:val="es-ES"/>
        </w:rPr>
        <w:t>Nota 16</w:t>
      </w:r>
      <w:r w:rsidRPr="00C04C4B">
        <w:rPr>
          <w:rFonts w:ascii="Garamond" w:hAnsi="Garamond" w:cs="Arial"/>
          <w:lang w:val="es-ES"/>
        </w:rPr>
        <w:t>: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14:paraId="3C419D3A" w14:textId="77777777" w:rsidR="00C04C4B" w:rsidRPr="00C04C4B" w:rsidRDefault="00C04C4B" w:rsidP="00C04C4B">
      <w:pPr>
        <w:tabs>
          <w:tab w:val="left" w:pos="284"/>
          <w:tab w:val="left" w:pos="993"/>
        </w:tabs>
        <w:spacing w:after="200"/>
        <w:ind w:right="49"/>
        <w:jc w:val="both"/>
        <w:rPr>
          <w:rFonts w:ascii="Garamond" w:hAnsi="Garamond" w:cs="Arial"/>
          <w:lang w:val="es-ES"/>
        </w:rPr>
      </w:pPr>
      <w:r w:rsidRPr="00C04C4B">
        <w:rPr>
          <w:rFonts w:ascii="Garamond" w:hAnsi="Garamond" w:cs="Arial"/>
          <w:b/>
          <w:bCs/>
          <w:lang w:val="es-ES"/>
        </w:rPr>
        <w:t>Nota 17</w:t>
      </w:r>
      <w:r w:rsidRPr="00C04C4B">
        <w:rPr>
          <w:rFonts w:ascii="Garamond" w:hAnsi="Garamond" w:cs="Arial"/>
          <w:lang w:val="es-ES"/>
        </w:rPr>
        <w:t xml:space="preserve">: Conforme con el artículo 18 de la Ley 1712 de 2014 y los artículos 5 y 6 de la Ley 1581 de 2012, la Entidad garantizará el derecho a la reserva legal de toda aquella información que acredita el cumplimiento de los factores de desempate de: i) las mujeres víctimas de violencia intrafamiliar, </w:t>
      </w:r>
      <w:proofErr w:type="spellStart"/>
      <w:r w:rsidRPr="00C04C4B">
        <w:rPr>
          <w:rFonts w:ascii="Garamond" w:hAnsi="Garamond" w:cs="Arial"/>
          <w:lang w:val="es-ES"/>
        </w:rPr>
        <w:t>ii</w:t>
      </w:r>
      <w:proofErr w:type="spellEnd"/>
      <w:r w:rsidRPr="00C04C4B">
        <w:rPr>
          <w:rFonts w:ascii="Garamond" w:hAnsi="Garamond" w:cs="Arial"/>
          <w:lang w:val="es-ES"/>
        </w:rPr>
        <w:t xml:space="preserve">) las personas en proceso de reincorporación y/o reintegración y </w:t>
      </w:r>
      <w:proofErr w:type="spellStart"/>
      <w:r w:rsidRPr="00C04C4B">
        <w:rPr>
          <w:rFonts w:ascii="Garamond" w:hAnsi="Garamond" w:cs="Arial"/>
          <w:lang w:val="es-ES"/>
        </w:rPr>
        <w:t>iii</w:t>
      </w:r>
      <w:proofErr w:type="spellEnd"/>
      <w:r w:rsidRPr="00C04C4B">
        <w:rPr>
          <w:rFonts w:ascii="Garamond" w:hAnsi="Garamond" w:cs="Arial"/>
          <w:lang w:val="es-ES"/>
        </w:rPr>
        <w:t xml:space="preserve">) la población indígena, negra, afrocolombiana, raizal, palenquera, </w:t>
      </w:r>
      <w:proofErr w:type="spellStart"/>
      <w:r w:rsidRPr="00C04C4B">
        <w:rPr>
          <w:rFonts w:ascii="Garamond" w:hAnsi="Garamond" w:cs="Arial"/>
          <w:lang w:val="es-ES"/>
        </w:rPr>
        <w:t>Rrom</w:t>
      </w:r>
      <w:proofErr w:type="spellEnd"/>
      <w:r w:rsidRPr="00C04C4B">
        <w:rPr>
          <w:rFonts w:ascii="Garamond" w:hAnsi="Garamond" w:cs="Arial"/>
          <w:lang w:val="es-ES"/>
        </w:rPr>
        <w:t xml:space="preserve"> o gitana.</w:t>
      </w:r>
    </w:p>
    <w:p w14:paraId="3C3987C6" w14:textId="77777777" w:rsidR="00C04C4B" w:rsidRPr="00C04C4B" w:rsidRDefault="00C04C4B" w:rsidP="00C04C4B">
      <w:pPr>
        <w:tabs>
          <w:tab w:val="left" w:pos="284"/>
          <w:tab w:val="left" w:pos="993"/>
        </w:tabs>
        <w:spacing w:after="120"/>
        <w:ind w:right="49"/>
        <w:jc w:val="both"/>
        <w:rPr>
          <w:rFonts w:ascii="Garamond" w:hAnsi="Garamond" w:cs="Arial"/>
          <w:lang w:val="es-ES"/>
        </w:rPr>
      </w:pPr>
      <w:r w:rsidRPr="00C04C4B">
        <w:rPr>
          <w:rFonts w:ascii="Garamond" w:hAnsi="Garamond" w:cs="Arial"/>
          <w:lang w:val="es-ES"/>
        </w:rPr>
        <w:t xml:space="preserve">De acuerdo con lo anterior, en la plataforma del </w:t>
      </w:r>
      <w:proofErr w:type="spellStart"/>
      <w:r w:rsidRPr="00C04C4B">
        <w:rPr>
          <w:rFonts w:ascii="Garamond" w:hAnsi="Garamond" w:cs="Arial"/>
          <w:lang w:val="es-ES"/>
        </w:rPr>
        <w:t>SECOP</w:t>
      </w:r>
      <w:proofErr w:type="spellEnd"/>
      <w:r w:rsidRPr="00C04C4B">
        <w:rPr>
          <w:rFonts w:ascii="Garamond" w:hAnsi="Garamond" w:cs="Arial"/>
          <w:lang w:val="es-ES"/>
        </w:rPr>
        <w:t xml:space="preserve"> no se publicará la información relacionada con los factores de desempate de personas en procesos de reincorporación o reintegración o mujeres víctimas de violencia intrafamiliar o la población indígena, negra, afrocolombiana, raizal, palenquera, </w:t>
      </w:r>
      <w:proofErr w:type="spellStart"/>
      <w:r w:rsidRPr="00C04C4B">
        <w:rPr>
          <w:rFonts w:ascii="Garamond" w:hAnsi="Garamond" w:cs="Arial"/>
          <w:lang w:val="es-ES"/>
        </w:rPr>
        <w:t>Rrom</w:t>
      </w:r>
      <w:proofErr w:type="spellEnd"/>
      <w:r w:rsidRPr="00C04C4B">
        <w:rPr>
          <w:rFonts w:ascii="Garamond" w:hAnsi="Garamond" w:cs="Arial"/>
          <w:lang w:val="es-ES"/>
        </w:rPr>
        <w:t xml:space="preserve"> o gitana, puesto que su público conocimiento puede afectar el derecho a la intimidad de los oferentes o de sus trabajadores o socios o accionistas.</w:t>
      </w:r>
    </w:p>
    <w:p w14:paraId="061A7845" w14:textId="77777777" w:rsidR="00C04C4B" w:rsidRPr="00C04C4B" w:rsidRDefault="00C04C4B" w:rsidP="00C04C4B">
      <w:pPr>
        <w:tabs>
          <w:tab w:val="left" w:pos="284"/>
          <w:tab w:val="left" w:pos="993"/>
        </w:tabs>
        <w:spacing w:after="120"/>
        <w:ind w:right="49"/>
        <w:jc w:val="both"/>
        <w:rPr>
          <w:rFonts w:ascii="Garamond" w:eastAsia="Arial" w:hAnsi="Garamond" w:cs="Arial"/>
          <w:lang w:val="es-ES"/>
        </w:rPr>
      </w:pPr>
      <w:r w:rsidRPr="00C04C4B">
        <w:rPr>
          <w:rFonts w:ascii="Garamond" w:hAnsi="Garamond" w:cs="Arial"/>
          <w:b/>
          <w:bCs/>
          <w:lang w:val="es-ES"/>
        </w:rPr>
        <w:t>Nota 18</w:t>
      </w:r>
      <w:r w:rsidRPr="00C04C4B">
        <w:rPr>
          <w:rFonts w:ascii="Garamond" w:hAnsi="Garamond" w:cs="Arial"/>
          <w:lang w:val="es-ES"/>
        </w:rPr>
        <w:t>: Para efectos de los factores de desempate dispuestos en este numeral, se entiende por experiencia acreditada en la oferta, la sumatoria de los contratos que demuestren la experiencia general de la actividad principal, expresados en salarios mínimos mensuales legales vigentes (</w:t>
      </w:r>
      <w:proofErr w:type="spellStart"/>
      <w:r w:rsidRPr="00C04C4B">
        <w:rPr>
          <w:rFonts w:ascii="Garamond" w:hAnsi="Garamond" w:cs="Arial"/>
          <w:lang w:val="es-ES"/>
        </w:rPr>
        <w:t>SMMLV</w:t>
      </w:r>
      <w:proofErr w:type="spellEnd"/>
      <w:r w:rsidRPr="00C04C4B">
        <w:rPr>
          <w:rFonts w:ascii="Garamond" w:hAnsi="Garamond" w:cs="Arial"/>
          <w:lang w:val="es-ES"/>
        </w:rPr>
        <w:t xml:space="preserve">). </w:t>
      </w:r>
    </w:p>
    <w:p w14:paraId="4084B187" w14:textId="77777777" w:rsidR="00C04C4B" w:rsidRPr="00C04C4B" w:rsidRDefault="00C04C4B" w:rsidP="00C04C4B">
      <w:pPr>
        <w:pStyle w:val="Entidad-Capitulo"/>
        <w:rPr>
          <w:rFonts w:ascii="Garamond" w:eastAsia="Arial" w:hAnsi="Garamond"/>
          <w:sz w:val="22"/>
          <w:szCs w:val="22"/>
          <w:lang w:val="es-ES"/>
        </w:rPr>
      </w:pPr>
      <w:bookmarkStart w:id="904" w:name="_Toc108082936"/>
      <w:bookmarkStart w:id="905" w:name="_Toc215132466"/>
      <w:r w:rsidRPr="00C04C4B">
        <w:rPr>
          <w:rFonts w:ascii="Garamond" w:eastAsia="Arial" w:hAnsi="Garamond"/>
          <w:sz w:val="22"/>
          <w:szCs w:val="22"/>
          <w:lang w:val="es-ES"/>
        </w:rPr>
        <w:t>CAPÍTULO V. OFERTA ECONÓMICA</w:t>
      </w:r>
      <w:bookmarkEnd w:id="904"/>
      <w:bookmarkEnd w:id="905"/>
    </w:p>
    <w:p w14:paraId="3D9B664E" w14:textId="77777777" w:rsidR="00C04C4B" w:rsidRPr="00C04C4B" w:rsidRDefault="00C04C4B" w:rsidP="00C04C4B">
      <w:pPr>
        <w:rPr>
          <w:rFonts w:ascii="Garamond" w:eastAsia="Arial" w:hAnsi="Garamond"/>
          <w:lang w:eastAsia="es-ES"/>
        </w:rPr>
      </w:pPr>
    </w:p>
    <w:p w14:paraId="47F0A8DE" w14:textId="58B1D3B8" w:rsidR="00C04C4B" w:rsidRPr="00C04C4B" w:rsidRDefault="00C04C4B" w:rsidP="00C04C4B">
      <w:pPr>
        <w:spacing w:after="200"/>
        <w:jc w:val="both"/>
        <w:rPr>
          <w:rFonts w:ascii="Garamond" w:eastAsia="Arial" w:hAnsi="Garamond" w:cs="Arial"/>
          <w:lang w:eastAsia="es-ES"/>
        </w:rPr>
      </w:pPr>
      <w:r w:rsidRPr="00C04C4B">
        <w:rPr>
          <w:rFonts w:ascii="Garamond" w:eastAsia="Arial" w:hAnsi="Garamond" w:cs="Arial"/>
          <w:lang w:eastAsia="es-ES"/>
        </w:rPr>
        <w:t>La oferta económica será el valor total indicado en la propuesta económica o el obtenido de la corrección aritmética.</w:t>
      </w:r>
    </w:p>
    <w:p w14:paraId="768B30F9" w14:textId="77777777" w:rsidR="00C04C4B" w:rsidRPr="00C04C4B" w:rsidRDefault="00C04C4B" w:rsidP="00C04C4B">
      <w:pPr>
        <w:spacing w:after="200"/>
        <w:jc w:val="both"/>
        <w:rPr>
          <w:rFonts w:ascii="Garamond" w:eastAsia="Arial" w:hAnsi="Garamond" w:cs="Arial"/>
          <w:lang w:eastAsia="es-ES"/>
        </w:rPr>
      </w:pPr>
      <w:r w:rsidRPr="00C04C4B">
        <w:rPr>
          <w:rFonts w:ascii="Garamond" w:eastAsia="Arial" w:hAnsi="Garamond" w:cs="Arial"/>
          <w:lang w:eastAsia="es-ES"/>
        </w:rPr>
        <w:t xml:space="preserve">El valor de la propuesta económica debe ser presentado en Pesos Colombianos y contemplar todos los costos directos e indirectos para la completa y adecuada ejecución de la interventoría de obra del proceso, los Riesgos y la administración de estos. </w:t>
      </w:r>
    </w:p>
    <w:p w14:paraId="54E2C8FA" w14:textId="77777777" w:rsidR="00C04C4B" w:rsidRPr="00C04C4B" w:rsidRDefault="00C04C4B" w:rsidP="00C04C4B">
      <w:pPr>
        <w:spacing w:after="200"/>
        <w:jc w:val="both"/>
        <w:rPr>
          <w:rFonts w:ascii="Garamond" w:eastAsia="Arial" w:hAnsi="Garamond" w:cs="Arial"/>
          <w:lang w:eastAsia="es-ES"/>
        </w:rPr>
      </w:pPr>
      <w:r w:rsidRPr="00C04C4B">
        <w:rPr>
          <w:rFonts w:ascii="Garamond" w:eastAsia="Arial" w:hAnsi="Garamond" w:cs="Arial"/>
          <w:lang w:eastAsia="es-ES"/>
        </w:rPr>
        <w:t xml:space="preserve">Al formular la oferta, el Proponente acepta que estarán a su cargo todos los impuestos, tasas y contribuciones </w:t>
      </w:r>
      <w:r w:rsidRPr="00C04C4B">
        <w:rPr>
          <w:rFonts w:ascii="Garamond" w:eastAsia="Arial" w:hAnsi="Garamond" w:cs="Arial"/>
          <w:lang w:eastAsia="es-ES"/>
        </w:rPr>
        <w:lastRenderedPageBreak/>
        <w:t>establecidos por las diferentes autoridades del orden nacional, departamental o municipal.</w:t>
      </w:r>
    </w:p>
    <w:p w14:paraId="3FBF402C" w14:textId="77777777" w:rsidR="00C04C4B" w:rsidRPr="00C04C4B" w:rsidRDefault="00C04C4B" w:rsidP="00A23238">
      <w:pPr>
        <w:pStyle w:val="Capitulo1"/>
        <w:numPr>
          <w:ilvl w:val="2"/>
          <w:numId w:val="54"/>
        </w:numPr>
        <w:tabs>
          <w:tab w:val="left" w:pos="851"/>
        </w:tabs>
        <w:spacing w:line="240" w:lineRule="auto"/>
        <w:jc w:val="both"/>
        <w:rPr>
          <w:rFonts w:ascii="Garamond" w:eastAsia="Arial" w:hAnsi="Garamond"/>
          <w:color w:val="auto"/>
          <w:sz w:val="22"/>
          <w:szCs w:val="22"/>
        </w:rPr>
      </w:pPr>
      <w:bookmarkStart w:id="906" w:name="_Toc32144842"/>
      <w:bookmarkStart w:id="907" w:name="_Toc108082937"/>
      <w:bookmarkStart w:id="908" w:name="_Toc215132467"/>
      <w:r w:rsidRPr="00C04C4B">
        <w:rPr>
          <w:rFonts w:ascii="Garamond" w:eastAsia="Arial" w:hAnsi="Garamond"/>
          <w:color w:val="auto"/>
          <w:sz w:val="22"/>
          <w:szCs w:val="22"/>
        </w:rPr>
        <w:t>CORRECCIONES ARITMÉTICAS</w:t>
      </w:r>
      <w:bookmarkEnd w:id="906"/>
      <w:bookmarkEnd w:id="907"/>
      <w:bookmarkEnd w:id="908"/>
    </w:p>
    <w:p w14:paraId="270DA131" w14:textId="77777777" w:rsidR="00C04C4B" w:rsidRPr="00C04C4B" w:rsidRDefault="00C04C4B" w:rsidP="00C04C4B">
      <w:pPr>
        <w:tabs>
          <w:tab w:val="left" w:pos="1860"/>
        </w:tabs>
        <w:spacing w:after="200"/>
        <w:jc w:val="both"/>
        <w:rPr>
          <w:rFonts w:ascii="Garamond" w:eastAsia="Arial" w:hAnsi="Garamond" w:cs="Arial"/>
          <w:lang w:eastAsia="es-ES"/>
        </w:rPr>
      </w:pPr>
      <w:r w:rsidRPr="00C04C4B">
        <w:rPr>
          <w:rFonts w:ascii="Garamond" w:eastAsia="Arial" w:hAnsi="Garamond" w:cs="Arial"/>
          <w:lang w:eastAsia="es-ES"/>
        </w:rPr>
        <w:t>La Entidad solo efectuará correcciones aritméticas originadas por:</w:t>
      </w:r>
    </w:p>
    <w:p w14:paraId="50ED9A09" w14:textId="77777777" w:rsidR="00C04C4B" w:rsidRPr="00C04C4B" w:rsidRDefault="00C04C4B" w:rsidP="00A23238">
      <w:pPr>
        <w:pStyle w:val="Prrafodelista"/>
        <w:widowControl/>
        <w:numPr>
          <w:ilvl w:val="0"/>
          <w:numId w:val="45"/>
        </w:numPr>
        <w:spacing w:after="200"/>
        <w:contextualSpacing/>
        <w:rPr>
          <w:rFonts w:ascii="Garamond" w:eastAsia="Arial" w:hAnsi="Garamond" w:cs="Arial"/>
          <w:lang w:eastAsia="es-ES"/>
        </w:rPr>
      </w:pPr>
      <w:r w:rsidRPr="00C04C4B">
        <w:rPr>
          <w:rFonts w:ascii="Garamond" w:eastAsia="Arial" w:hAnsi="Garamond" w:cs="Arial"/>
          <w:lang w:eastAsia="es-ES"/>
        </w:rPr>
        <w:t xml:space="preserve">Las operaciones aritméticas a que haya lugar en la propuesta económica de existir un error que surja de un cálculo meramente aritmético </w:t>
      </w:r>
      <w:r w:rsidRPr="00C04C4B" w:rsidDel="009F0CCE">
        <w:rPr>
          <w:rFonts w:ascii="Garamond" w:eastAsia="Arial" w:hAnsi="Garamond" w:cs="Arial"/>
          <w:lang w:eastAsia="es-ES"/>
        </w:rPr>
        <w:t xml:space="preserve">cuando </w:t>
      </w:r>
      <w:r w:rsidRPr="00C04C4B">
        <w:rPr>
          <w:rFonts w:ascii="Garamond" w:eastAsia="Arial" w:hAnsi="Garamond" w:cs="Arial"/>
          <w:lang w:eastAsia="es-ES"/>
        </w:rPr>
        <w:t xml:space="preserve">la operación </w:t>
      </w:r>
      <w:r w:rsidRPr="00C04C4B" w:rsidDel="009F0CCE">
        <w:rPr>
          <w:rFonts w:ascii="Garamond" w:eastAsia="Arial" w:hAnsi="Garamond" w:cs="Arial"/>
          <w:lang w:eastAsia="es-ES"/>
        </w:rPr>
        <w:t xml:space="preserve">ha sido </w:t>
      </w:r>
      <w:r w:rsidRPr="00C04C4B">
        <w:rPr>
          <w:rFonts w:ascii="Garamond" w:eastAsia="Arial" w:hAnsi="Garamond" w:cs="Arial"/>
          <w:lang w:eastAsia="es-ES"/>
        </w:rPr>
        <w:t>erróneamente realizada.</w:t>
      </w:r>
    </w:p>
    <w:p w14:paraId="463B1ED1" w14:textId="77777777" w:rsidR="00C04C4B" w:rsidRPr="00C04C4B" w:rsidRDefault="00C04C4B" w:rsidP="00A23238">
      <w:pPr>
        <w:widowControl/>
        <w:numPr>
          <w:ilvl w:val="0"/>
          <w:numId w:val="45"/>
        </w:numPr>
        <w:spacing w:after="200"/>
        <w:contextualSpacing/>
        <w:jc w:val="both"/>
        <w:rPr>
          <w:rFonts w:ascii="Garamond" w:eastAsia="Arial" w:hAnsi="Garamond" w:cs="Arial"/>
          <w:lang w:eastAsia="es-ES"/>
        </w:rPr>
      </w:pPr>
      <w:r w:rsidRPr="00C04C4B">
        <w:rPr>
          <w:rFonts w:ascii="Garamond" w:eastAsia="Arial" w:hAnsi="Garamond" w:cs="Arial"/>
          <w:lang w:eastAsia="es-ES"/>
        </w:rPr>
        <w:t xml:space="preserve">El ajuste al Peso ya sea por exceso o por defecto de los precios unitarios contenidos en la propuesta económica y del valor del IVA, así: cuando la fracción decimal del Peso sea igual o superior a </w:t>
      </w:r>
      <w:r w:rsidRPr="00C04C4B" w:rsidDel="003574A1">
        <w:rPr>
          <w:rFonts w:ascii="Garamond" w:eastAsia="Arial" w:hAnsi="Garamond" w:cs="Arial"/>
          <w:lang w:eastAsia="es-ES"/>
        </w:rPr>
        <w:t xml:space="preserve">punto </w:t>
      </w:r>
      <w:r w:rsidRPr="00C04C4B">
        <w:rPr>
          <w:rFonts w:ascii="Garamond" w:eastAsia="Arial" w:hAnsi="Garamond" w:cs="Arial"/>
          <w:lang w:eastAsia="es-ES"/>
        </w:rPr>
        <w:t xml:space="preserve">cinco (0.5) se aproximará por exceso al número entero siguiente del Peso y cuando la fracción decimal del Peso sea inferior a </w:t>
      </w:r>
      <w:r w:rsidRPr="00C04C4B" w:rsidDel="003574A1">
        <w:rPr>
          <w:rFonts w:ascii="Garamond" w:eastAsia="Arial" w:hAnsi="Garamond" w:cs="Arial"/>
          <w:lang w:eastAsia="es-ES"/>
        </w:rPr>
        <w:t xml:space="preserve">punto </w:t>
      </w:r>
      <w:r w:rsidRPr="00C04C4B">
        <w:rPr>
          <w:rFonts w:ascii="Garamond" w:eastAsia="Arial" w:hAnsi="Garamond" w:cs="Arial"/>
          <w:lang w:eastAsia="es-ES"/>
        </w:rPr>
        <w:t>cinco (0.5) se aproximará por defecto al número entero.</w:t>
      </w:r>
    </w:p>
    <w:p w14:paraId="6519FFB5" w14:textId="77777777" w:rsidR="00C04C4B" w:rsidRPr="00C04C4B" w:rsidRDefault="00C04C4B" w:rsidP="00C04C4B">
      <w:pPr>
        <w:pStyle w:val="InviasNormal"/>
        <w:rPr>
          <w:rFonts w:ascii="Garamond" w:eastAsia="Arial" w:hAnsi="Garamond" w:cs="Arial"/>
          <w:sz w:val="22"/>
          <w:szCs w:val="22"/>
          <w:lang w:val="es-CO"/>
        </w:rPr>
      </w:pPr>
      <w:r w:rsidRPr="00C04C4B">
        <w:rPr>
          <w:rFonts w:ascii="Garamond" w:eastAsia="Arial" w:hAnsi="Garamond" w:cs="Arial"/>
          <w:sz w:val="22"/>
          <w:szCs w:val="22"/>
          <w:lang w:val="es-CO"/>
        </w:rPr>
        <w:t>La Entidad a partir del valor total corregido de las propuestas valorará la oferta económica según la normativa vigente aplicable.</w:t>
      </w:r>
    </w:p>
    <w:p w14:paraId="31739D0B" w14:textId="77777777" w:rsidR="00C04C4B" w:rsidRPr="00C04C4B" w:rsidRDefault="00C04C4B" w:rsidP="00A23238">
      <w:pPr>
        <w:pStyle w:val="Capitulo1"/>
        <w:numPr>
          <w:ilvl w:val="2"/>
          <w:numId w:val="54"/>
        </w:numPr>
        <w:tabs>
          <w:tab w:val="left" w:pos="851"/>
        </w:tabs>
        <w:spacing w:line="240" w:lineRule="auto"/>
        <w:jc w:val="both"/>
        <w:rPr>
          <w:rFonts w:ascii="Garamond" w:eastAsia="Arial" w:hAnsi="Garamond"/>
          <w:color w:val="auto"/>
          <w:sz w:val="22"/>
          <w:szCs w:val="22"/>
        </w:rPr>
      </w:pPr>
      <w:bookmarkStart w:id="909" w:name="_Toc108082938"/>
      <w:bookmarkStart w:id="910" w:name="_Toc215132468"/>
      <w:r w:rsidRPr="00C04C4B">
        <w:rPr>
          <w:rFonts w:ascii="Garamond" w:eastAsia="Arial" w:hAnsi="Garamond"/>
          <w:color w:val="auto"/>
          <w:sz w:val="22"/>
          <w:szCs w:val="22"/>
        </w:rPr>
        <w:t>PRECIO ARTIFICIALMENTE BAJO</w:t>
      </w:r>
      <w:bookmarkEnd w:id="909"/>
      <w:bookmarkEnd w:id="910"/>
    </w:p>
    <w:p w14:paraId="3B5C841E" w14:textId="77777777" w:rsidR="00C04C4B" w:rsidRPr="00C04C4B" w:rsidRDefault="00C04C4B" w:rsidP="00C04C4B">
      <w:pPr>
        <w:tabs>
          <w:tab w:val="left" w:pos="-142"/>
        </w:tabs>
        <w:autoSpaceDE w:val="0"/>
        <w:autoSpaceDN w:val="0"/>
        <w:adjustRightInd w:val="0"/>
        <w:spacing w:before="120" w:after="240"/>
        <w:jc w:val="both"/>
        <w:rPr>
          <w:rFonts w:ascii="Garamond" w:eastAsia="Arial" w:hAnsi="Garamond" w:cs="Arial"/>
          <w:lang w:eastAsia="es-ES"/>
        </w:rPr>
      </w:pPr>
      <w:r w:rsidRPr="00C04C4B">
        <w:rPr>
          <w:rFonts w:ascii="Garamond" w:eastAsia="Arial" w:hAnsi="Garamond" w:cs="Arial"/>
          <w:lang w:eastAsia="es-ES"/>
        </w:rPr>
        <w:t>En el evento en el que el precio de una oferta, al momento de su evaluación, no parezca suficiente para garantizar una correcta ejecución del contrato, de acuerdo con la información recogida durante la etapa de planeación y particularmente en el estudio del sector, la Entidad aplicará el proceso descrito en el artículo 2.2.1.1.2.2.4. del Decreto 1082 de 2015, además podrá acudir a los parámetros definidos en la Guía para el manejo de ofertas artificialmente bajas en los Procesos de Contratación de Colombia Compra Eficiente, como un criterio metodológico.</w:t>
      </w:r>
    </w:p>
    <w:p w14:paraId="087D08BC" w14:textId="77777777" w:rsidR="0022086B" w:rsidRPr="00C04C4B" w:rsidRDefault="0065443B">
      <w:pPr>
        <w:jc w:val="both"/>
        <w:rPr>
          <w:rFonts w:ascii="Garamond" w:eastAsia="Garamond" w:hAnsi="Garamond" w:cs="Garamond"/>
        </w:rPr>
      </w:pPr>
      <w:r w:rsidRPr="00C04C4B">
        <w:rPr>
          <w:rFonts w:ascii="Garamond" w:hAnsi="Garamond"/>
          <w:noProof/>
        </w:rPr>
        <mc:AlternateContent>
          <mc:Choice Requires="wps">
            <w:drawing>
              <wp:anchor distT="0" distB="0" distL="0" distR="0" simplePos="0" relativeHeight="251661312" behindDoc="0" locked="0" layoutInCell="1" hidden="0" allowOverlap="1" wp14:anchorId="7912426C" wp14:editId="4C8B2949">
                <wp:simplePos x="0" y="0"/>
                <wp:positionH relativeFrom="column">
                  <wp:posOffset>-38415</wp:posOffset>
                </wp:positionH>
                <wp:positionV relativeFrom="paragraph">
                  <wp:posOffset>172375</wp:posOffset>
                </wp:positionV>
                <wp:extent cx="6054090" cy="365760"/>
                <wp:effectExtent l="0" t="0" r="0" b="0"/>
                <wp:wrapTopAndBottom distT="0" distB="0"/>
                <wp:docPr id="133" name="Rectángulo 133"/>
                <wp:cNvGraphicFramePr/>
                <a:graphic xmlns:a="http://schemas.openxmlformats.org/drawingml/2006/main">
                  <a:graphicData uri="http://schemas.microsoft.com/office/word/2010/wordprocessingShape">
                    <wps:wsp>
                      <wps:cNvSpPr/>
                      <wps:spPr>
                        <a:xfrm>
                          <a:off x="2328480" y="3606645"/>
                          <a:ext cx="6035040" cy="346710"/>
                        </a:xfrm>
                        <a:prstGeom prst="rect">
                          <a:avLst/>
                        </a:prstGeom>
                        <a:solidFill>
                          <a:srgbClr val="D9D9D9"/>
                        </a:solidFill>
                        <a:ln w="9525" cap="flat" cmpd="sng">
                          <a:solidFill>
                            <a:srgbClr val="000000"/>
                          </a:solidFill>
                          <a:prstDash val="solid"/>
                          <a:round/>
                          <a:headEnd type="none" w="sm" len="sm"/>
                          <a:tailEnd type="none" w="sm" len="sm"/>
                        </a:ln>
                      </wps:spPr>
                      <wps:txbx>
                        <w:txbxContent>
                          <w:p w14:paraId="4DD5A723" w14:textId="7747942F" w:rsidR="0022086B" w:rsidRDefault="0065443B">
                            <w:pPr>
                              <w:spacing w:line="255" w:lineRule="auto"/>
                              <w:ind w:left="103" w:firstLine="206"/>
                              <w:textDirection w:val="btLr"/>
                            </w:pPr>
                            <w:r>
                              <w:rPr>
                                <w:b/>
                                <w:color w:val="000000"/>
                                <w:sz w:val="24"/>
                              </w:rPr>
                              <w:t>6. SOPORTE QUE PERMITA LA ESTIMACIÓN, TIPIFICACIÓN Y ASIGNACIÓN DE</w:t>
                            </w:r>
                            <w:r w:rsidR="006170D7">
                              <w:rPr>
                                <w:b/>
                                <w:color w:val="000000"/>
                                <w:sz w:val="24"/>
                              </w:rPr>
                              <w:t xml:space="preserve"> RIESGOS</w:t>
                            </w:r>
                          </w:p>
                          <w:p w14:paraId="1879CBCC" w14:textId="77777777" w:rsidR="0022086B" w:rsidRDefault="0065443B">
                            <w:pPr>
                              <w:spacing w:line="273" w:lineRule="auto"/>
                              <w:ind w:left="103" w:firstLine="206"/>
                              <w:textDirection w:val="btLr"/>
                            </w:pPr>
                            <w:r>
                              <w:rPr>
                                <w:b/>
                                <w:color w:val="000000"/>
                                <w:sz w:val="24"/>
                              </w:rPr>
                              <w:t>LOS RIESGOS PREVISIBLES INVOLUCRADOS EN LA CONTRATACIÓN.</w:t>
                            </w:r>
                          </w:p>
                        </w:txbxContent>
                      </wps:txbx>
                      <wps:bodyPr spcFirstLastPara="1" wrap="square" lIns="0" tIns="0" rIns="0" bIns="0" anchor="t" anchorCtr="0">
                        <a:noAutofit/>
                      </wps:bodyPr>
                    </wps:wsp>
                  </a:graphicData>
                </a:graphic>
              </wp:anchor>
            </w:drawing>
          </mc:Choice>
          <mc:Fallback>
            <w:pict>
              <v:rect w14:anchorId="7912426C" id="Rectángulo 133" o:spid="_x0000_s1039" style="position:absolute;left:0;text-align:left;margin-left:-3pt;margin-top:13.55pt;width:476.7pt;height:28.8pt;z-index:25166131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" fillcolor="#d9d9d9">
                <v:stroke startarrowwidth="narrow" startarrowlength="short" endarrowwidth="narrow" endarrowlength="short" joinstyle="round"/>
                <v:textbox inset="0,0,0,0">
                  <w:txbxContent>
                    <w:p w14:paraId="4DD5A723" w14:textId="7747942F" w:rsidR="0022086B" w:rsidRDefault="0065443B">
                      <w:pPr>
                        <w:spacing w:line="255" w:lineRule="auto"/>
                        <w:ind w:left="103" w:firstLine="206"/>
                        <w:textDirection w:val="btLr"/>
                      </w:pPr>
                      <w:r>
                        <w:rPr>
                          <w:b/>
                          <w:color w:val="000000"/>
                          <w:sz w:val="24"/>
                        </w:rPr>
                        <w:t>6. SOPORTE QUE PERMITA LA ESTIMACIÓN, TIPIFICACIÓN Y ASIGNACIÓN DE</w:t>
                      </w:r>
                      <w:r w:rsidR="006170D7">
                        <w:rPr>
                          <w:b/>
                          <w:color w:val="000000"/>
                          <w:sz w:val="24"/>
                        </w:rPr>
                        <w:t xml:space="preserve"> RIESGOS</w:t>
                      </w:r>
                    </w:p>
                    <w:p w14:paraId="1879CBCC" w14:textId="77777777" w:rsidR="0022086B" w:rsidRDefault="0065443B">
                      <w:pPr>
                        <w:spacing w:line="273" w:lineRule="auto"/>
                        <w:ind w:left="103" w:firstLine="206"/>
                        <w:textDirection w:val="btLr"/>
                      </w:pPr>
                      <w:r>
                        <w:rPr>
                          <w:b/>
                          <w:color w:val="000000"/>
                          <w:sz w:val="24"/>
                        </w:rPr>
                        <w:t>LOS RIESGOS PREVISIBLES INVOLUCRADOS EN LA CONTRATACIÓN.</w:t>
                      </w:r>
                    </w:p>
                  </w:txbxContent>
                </v:textbox>
                <w10:wrap type="topAndBottom"/>
              </v:rect>
            </w:pict>
          </mc:Fallback>
        </mc:AlternateContent>
      </w:r>
    </w:p>
    <w:p w14:paraId="3FC4BDBC" w14:textId="77777777" w:rsidR="0022086B" w:rsidRPr="00C04C4B" w:rsidRDefault="0022086B">
      <w:pPr>
        <w:jc w:val="both"/>
        <w:rPr>
          <w:rFonts w:ascii="Garamond" w:eastAsia="Garamond" w:hAnsi="Garamond" w:cs="Garamond"/>
        </w:rPr>
      </w:pPr>
    </w:p>
    <w:p w14:paraId="79AF99EE" w14:textId="77777777" w:rsidR="0022086B" w:rsidRPr="00C04C4B" w:rsidRDefault="0065443B">
      <w:pPr>
        <w:jc w:val="both"/>
        <w:rPr>
          <w:rFonts w:ascii="Garamond" w:eastAsia="Garamond" w:hAnsi="Garamond" w:cs="Garamond"/>
        </w:rPr>
      </w:pPr>
      <w:r w:rsidRPr="00C04C4B">
        <w:rPr>
          <w:rFonts w:ascii="Garamond" w:eastAsia="Garamond" w:hAnsi="Garamond" w:cs="Garamond"/>
        </w:rPr>
        <w:t>La Matriz 3 Riesgos incluye los riesgos que se pueden presentar durante la ejecución del contrato. Esta matriz describe cada uno de los riesgos, la consecuencia de su ocurrencia, a quien se le asigna, cual es el tratamiento en caso de ocurrencia y quien es el responsable del tratamiento entre otros aspectos.</w:t>
      </w:r>
    </w:p>
    <w:p w14:paraId="60B127FC" w14:textId="77777777" w:rsidR="0022086B" w:rsidRPr="00C04C4B" w:rsidRDefault="0022086B">
      <w:pPr>
        <w:jc w:val="both"/>
        <w:rPr>
          <w:rFonts w:ascii="Garamond" w:eastAsia="Garamond" w:hAnsi="Garamond" w:cs="Garamond"/>
        </w:rPr>
      </w:pPr>
    </w:p>
    <w:p w14:paraId="0757D760" w14:textId="77777777" w:rsidR="0022086B" w:rsidRPr="00C04C4B" w:rsidRDefault="0065443B">
      <w:pPr>
        <w:jc w:val="both"/>
        <w:rPr>
          <w:rFonts w:ascii="Garamond" w:eastAsia="Garamond" w:hAnsi="Garamond" w:cs="Garamond"/>
        </w:rPr>
      </w:pPr>
      <w:r w:rsidRPr="00C04C4B">
        <w:rPr>
          <w:rFonts w:ascii="Garamond" w:eastAsia="Garamond" w:hAnsi="Garamond" w:cs="Garamond"/>
        </w:rPr>
        <w:t>ASIGNACIÓN DE RIESGOS</w:t>
      </w:r>
    </w:p>
    <w:p w14:paraId="4FEE35C5" w14:textId="77777777" w:rsidR="0022086B" w:rsidRPr="00C04C4B" w:rsidRDefault="0022086B">
      <w:pPr>
        <w:jc w:val="both"/>
        <w:rPr>
          <w:rFonts w:ascii="Garamond" w:eastAsia="Garamond" w:hAnsi="Garamond" w:cs="Garamond"/>
        </w:rPr>
      </w:pPr>
    </w:p>
    <w:p w14:paraId="0091B3BE" w14:textId="77777777" w:rsidR="0022086B" w:rsidRPr="00C04C4B" w:rsidRDefault="0065443B">
      <w:pPr>
        <w:jc w:val="both"/>
        <w:rPr>
          <w:rFonts w:ascii="Garamond" w:eastAsia="Garamond" w:hAnsi="Garamond" w:cs="Garamond"/>
        </w:rPr>
      </w:pPr>
      <w:r w:rsidRPr="00C04C4B">
        <w:rPr>
          <w:rFonts w:ascii="Garamond" w:eastAsia="Garamond" w:hAnsi="Garamond" w:cs="Garamond"/>
        </w:rPr>
        <w:t>La Matriz 3 Riesgos, en la cual se tipifican los riegos previsibles, preparada por la entidad, hace parte del presente estudio previo y los interesados podrán presentar observaciones sobre su contenido.</w:t>
      </w:r>
    </w:p>
    <w:p w14:paraId="70A92616" w14:textId="77777777" w:rsidR="0022086B" w:rsidRPr="00C04C4B" w:rsidRDefault="0065443B">
      <w:pPr>
        <w:jc w:val="both"/>
        <w:rPr>
          <w:rFonts w:ascii="Garamond" w:eastAsia="Garamond" w:hAnsi="Garamond" w:cs="Garamond"/>
        </w:rPr>
      </w:pPr>
      <w:r w:rsidRPr="00C04C4B">
        <w:rPr>
          <w:rFonts w:ascii="Garamond" w:eastAsia="Garamond" w:hAnsi="Garamond" w:cs="Garamond"/>
        </w:rPr>
        <w:t xml:space="preserve">Los proponentes deben realizar todas las evaluaciones y estimaciones que sean necesarias para presentar su propuesta sobre la base de un examen cuidadoso de sus características, incluyendo los estudios, diseños, evaluaciones y verificaciones que consideren necesarios para formular la propuesta con base en su propia información, de manera tal que el proponente debe tener en cuenta el cálculo de los aspectos económicos del </w:t>
      </w:r>
      <w:r w:rsidRPr="00C04C4B">
        <w:rPr>
          <w:rFonts w:ascii="Garamond" w:eastAsia="Garamond" w:hAnsi="Garamond" w:cs="Garamond"/>
        </w:rPr>
        <w:lastRenderedPageBreak/>
        <w:t>proyecto, los cuales deben incluir todas las obligaciones y asunción de riesgos que emanan del contrato.</w:t>
      </w:r>
    </w:p>
    <w:p w14:paraId="2426FE53" w14:textId="77777777" w:rsidR="0022086B" w:rsidRPr="00C04C4B" w:rsidRDefault="0022086B">
      <w:pPr>
        <w:jc w:val="both"/>
        <w:rPr>
          <w:rFonts w:ascii="Garamond" w:eastAsia="Garamond" w:hAnsi="Garamond" w:cs="Garamond"/>
        </w:rPr>
      </w:pPr>
    </w:p>
    <w:p w14:paraId="06F77D90" w14:textId="77777777" w:rsidR="0022086B" w:rsidRPr="00C04C4B" w:rsidRDefault="0065443B">
      <w:pPr>
        <w:jc w:val="both"/>
        <w:rPr>
          <w:rFonts w:ascii="Garamond" w:eastAsia="Garamond" w:hAnsi="Garamond" w:cs="Garamond"/>
        </w:rPr>
      </w:pPr>
      <w:r w:rsidRPr="00C04C4B">
        <w:rPr>
          <w:rFonts w:ascii="Garamond" w:eastAsia="Garamond" w:hAnsi="Garamond" w:cs="Garamond"/>
        </w:rPr>
        <w:t>Si el proponente que resulte adjudicatario ha evaluado incorrectamente o no ha considerado toda la información que pueda influir en la determinación de los costos, no se eximirá de su responsabilidad</w:t>
      </w:r>
    </w:p>
    <w:p w14:paraId="5F98B4C2" w14:textId="77777777" w:rsidR="0022086B" w:rsidRPr="00C04C4B" w:rsidRDefault="0022086B">
      <w:pPr>
        <w:jc w:val="both"/>
        <w:rPr>
          <w:rFonts w:ascii="Garamond" w:eastAsia="Garamond" w:hAnsi="Garamond" w:cs="Garamond"/>
        </w:rPr>
      </w:pPr>
    </w:p>
    <w:p w14:paraId="005B6034" w14:textId="77777777" w:rsidR="0022086B" w:rsidRPr="00C04C4B" w:rsidRDefault="0065443B">
      <w:pPr>
        <w:jc w:val="both"/>
        <w:rPr>
          <w:rFonts w:ascii="Garamond" w:eastAsia="Garamond" w:hAnsi="Garamond" w:cs="Garamond"/>
        </w:rPr>
      </w:pPr>
      <w:r w:rsidRPr="00C04C4B">
        <w:rPr>
          <w:rFonts w:ascii="Garamond" w:eastAsia="Garamond" w:hAnsi="Garamond" w:cs="Garamond"/>
        </w:rPr>
        <w:t>por la ejecución completa del contrato ni le dará derecho a rembolso de costos ni a reclamaciones o reconocimientos adicionales de ninguna naturaleza.</w:t>
      </w:r>
    </w:p>
    <w:p w14:paraId="4C8669AE" w14:textId="77777777" w:rsidR="0022086B" w:rsidRPr="00C04C4B" w:rsidRDefault="0065443B">
      <w:pPr>
        <w:jc w:val="both"/>
        <w:rPr>
          <w:rFonts w:ascii="Garamond" w:eastAsia="Garamond" w:hAnsi="Garamond" w:cs="Garamond"/>
        </w:rPr>
      </w:pPr>
      <w:r w:rsidRPr="00C04C4B">
        <w:rPr>
          <w:rFonts w:ascii="Garamond" w:hAnsi="Garamond"/>
          <w:noProof/>
        </w:rPr>
        <mc:AlternateContent>
          <mc:Choice Requires="wps">
            <w:drawing>
              <wp:anchor distT="0" distB="0" distL="0" distR="0" simplePos="0" relativeHeight="251662336" behindDoc="0" locked="0" layoutInCell="1" hidden="0" allowOverlap="1" wp14:anchorId="11BBBFB2" wp14:editId="6AB5D1E6">
                <wp:simplePos x="0" y="0"/>
                <wp:positionH relativeFrom="column">
                  <wp:posOffset>-38415</wp:posOffset>
                </wp:positionH>
                <wp:positionV relativeFrom="paragraph">
                  <wp:posOffset>174707</wp:posOffset>
                </wp:positionV>
                <wp:extent cx="6054090" cy="194310"/>
                <wp:effectExtent l="0" t="0" r="0" b="0"/>
                <wp:wrapTopAndBottom distT="0" distB="0"/>
                <wp:docPr id="130" name="Rectángulo 130"/>
                <wp:cNvGraphicFramePr/>
                <a:graphic xmlns:a="http://schemas.openxmlformats.org/drawingml/2006/main">
                  <a:graphicData uri="http://schemas.microsoft.com/office/word/2010/wordprocessingShape">
                    <wps:wsp>
                      <wps:cNvSpPr/>
                      <wps:spPr>
                        <a:xfrm>
                          <a:off x="2328480" y="3692370"/>
                          <a:ext cx="6035040" cy="175260"/>
                        </a:xfrm>
                        <a:prstGeom prst="rect">
                          <a:avLst/>
                        </a:prstGeom>
                        <a:solidFill>
                          <a:srgbClr val="D9D9D9"/>
                        </a:solidFill>
                        <a:ln w="9525" cap="flat" cmpd="sng">
                          <a:solidFill>
                            <a:srgbClr val="000000"/>
                          </a:solidFill>
                          <a:prstDash val="solid"/>
                          <a:round/>
                          <a:headEnd type="none" w="sm" len="sm"/>
                          <a:tailEnd type="none" w="sm" len="sm"/>
                        </a:ln>
                      </wps:spPr>
                      <wps:txbx>
                        <w:txbxContent>
                          <w:p w14:paraId="02026D58" w14:textId="77777777" w:rsidR="0022086B" w:rsidRDefault="0065443B">
                            <w:pPr>
                              <w:spacing w:line="260" w:lineRule="auto"/>
                              <w:ind w:left="103" w:firstLine="206"/>
                              <w:textDirection w:val="btLr"/>
                            </w:pPr>
                            <w:r>
                              <w:rPr>
                                <w:b/>
                                <w:color w:val="000000"/>
                                <w:sz w:val="24"/>
                              </w:rPr>
                              <w:t>7. ANÁLISIS QUE SUSTENTA LA EXIGENCIA DE GARANTÍAS</w:t>
                            </w:r>
                          </w:p>
                        </w:txbxContent>
                      </wps:txbx>
                      <wps:bodyPr spcFirstLastPara="1" wrap="square" lIns="0" tIns="0" rIns="0" bIns="0" anchor="t" anchorCtr="0">
                        <a:noAutofit/>
                      </wps:bodyPr>
                    </wps:wsp>
                  </a:graphicData>
                </a:graphic>
              </wp:anchor>
            </w:drawing>
          </mc:Choice>
          <mc:Fallback>
            <w:pict>
              <v:rect w14:anchorId="11BBBFB2" id="Rectángulo 130" o:spid="_x0000_s1040" style="position:absolute;left:0;text-align:left;margin-left:-3pt;margin-top:13.75pt;width:476.7pt;height:15.3pt;z-index:25166233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" fillcolor="#d9d9d9">
                <v:stroke startarrowwidth="narrow" startarrowlength="short" endarrowwidth="narrow" endarrowlength="short" joinstyle="round"/>
                <v:textbox inset="0,0,0,0">
                  <w:txbxContent>
                    <w:p w14:paraId="02026D58" w14:textId="77777777" w:rsidR="0022086B" w:rsidRDefault="0065443B">
                      <w:pPr>
                        <w:spacing w:line="260" w:lineRule="auto"/>
                        <w:ind w:left="103" w:firstLine="206"/>
                        <w:textDirection w:val="btLr"/>
                      </w:pPr>
                      <w:r>
                        <w:rPr>
                          <w:b/>
                          <w:color w:val="000000"/>
                          <w:sz w:val="24"/>
                        </w:rPr>
                        <w:t>7. ANÁLISIS QUE SUSTENTA LA EXIGENCIA DE GARANTÍAS</w:t>
                      </w:r>
                    </w:p>
                  </w:txbxContent>
                </v:textbox>
                <w10:wrap type="topAndBottom"/>
              </v:rect>
            </w:pict>
          </mc:Fallback>
        </mc:AlternateContent>
      </w:r>
    </w:p>
    <w:p w14:paraId="5B911A4B" w14:textId="77777777" w:rsidR="0022086B" w:rsidRPr="00C04C4B" w:rsidRDefault="0022086B">
      <w:pPr>
        <w:jc w:val="both"/>
        <w:rPr>
          <w:rFonts w:ascii="Garamond" w:eastAsia="Garamond" w:hAnsi="Garamond" w:cs="Garamond"/>
        </w:rPr>
      </w:pPr>
    </w:p>
    <w:p w14:paraId="68AA8E8D" w14:textId="77777777" w:rsidR="0022086B" w:rsidRPr="00C04C4B" w:rsidRDefault="0065443B">
      <w:pPr>
        <w:jc w:val="both"/>
        <w:rPr>
          <w:rFonts w:ascii="Garamond" w:eastAsia="Garamond" w:hAnsi="Garamond" w:cs="Garamond"/>
          <w:b/>
        </w:rPr>
      </w:pPr>
      <w:r w:rsidRPr="00C04C4B">
        <w:rPr>
          <w:rFonts w:ascii="Garamond" w:eastAsia="Garamond" w:hAnsi="Garamond" w:cs="Garamond"/>
          <w:b/>
        </w:rPr>
        <w:t>GARANTÍA DE SERIEDAD DE LA OFERTA</w:t>
      </w:r>
    </w:p>
    <w:p w14:paraId="722BB938" w14:textId="77777777" w:rsidR="0022086B" w:rsidRPr="00C04C4B" w:rsidRDefault="0022086B">
      <w:pPr>
        <w:jc w:val="both"/>
        <w:rPr>
          <w:rFonts w:ascii="Garamond" w:eastAsia="Garamond" w:hAnsi="Garamond" w:cs="Garamond"/>
        </w:rPr>
      </w:pPr>
    </w:p>
    <w:p w14:paraId="126D9F2B" w14:textId="77777777" w:rsidR="0022086B" w:rsidRPr="00C04C4B" w:rsidRDefault="0065443B">
      <w:pPr>
        <w:jc w:val="both"/>
        <w:rPr>
          <w:rFonts w:ascii="Garamond" w:eastAsia="Garamond" w:hAnsi="Garamond" w:cs="Garamond"/>
        </w:rPr>
      </w:pPr>
      <w:r w:rsidRPr="00C04C4B">
        <w:rPr>
          <w:rFonts w:ascii="Garamond" w:eastAsia="Garamond" w:hAnsi="Garamond" w:cs="Garamond"/>
        </w:rPr>
        <w:t>El proponente debe presentar con la propuesta una garantía de seriedad de la oferta que cumpla con los parámetros, condiciones y requisitos que se indican en este numeral.</w:t>
      </w:r>
    </w:p>
    <w:p w14:paraId="127FF7FC" w14:textId="77777777" w:rsidR="0022086B" w:rsidRPr="00C04C4B" w:rsidRDefault="0022086B">
      <w:pPr>
        <w:jc w:val="both"/>
        <w:rPr>
          <w:rFonts w:ascii="Garamond" w:eastAsia="Garamond" w:hAnsi="Garamond" w:cs="Garamond"/>
        </w:rPr>
      </w:pPr>
    </w:p>
    <w:p w14:paraId="52593D56" w14:textId="77777777" w:rsidR="0022086B" w:rsidRPr="00C04C4B" w:rsidRDefault="0065443B">
      <w:pPr>
        <w:jc w:val="both"/>
        <w:rPr>
          <w:rFonts w:ascii="Garamond" w:eastAsia="Garamond" w:hAnsi="Garamond" w:cs="Garamond"/>
        </w:rPr>
      </w:pPr>
      <w:r w:rsidRPr="00C04C4B">
        <w:rPr>
          <w:rFonts w:ascii="Garamond" w:eastAsia="Garamond" w:hAnsi="Garamond" w:cs="Garamond"/>
        </w:rPr>
        <w:t>Cualquier error o imprecisión en el texto de la garantía presentada, será susceptible de aclaración por el proponente hasta el término de traslado del informe de evaluación.</w:t>
      </w:r>
    </w:p>
    <w:p w14:paraId="4492EE53" w14:textId="77777777" w:rsidR="0022086B" w:rsidRPr="00C04C4B" w:rsidRDefault="0022086B">
      <w:pPr>
        <w:jc w:val="both"/>
        <w:rPr>
          <w:rFonts w:ascii="Garamond" w:eastAsia="Garamond" w:hAnsi="Garamond" w:cs="Garamond"/>
        </w:rPr>
      </w:pPr>
    </w:p>
    <w:p w14:paraId="53CDB713" w14:textId="77777777" w:rsidR="0022086B" w:rsidRPr="00C04C4B" w:rsidRDefault="0065443B">
      <w:pPr>
        <w:jc w:val="both"/>
        <w:rPr>
          <w:rFonts w:ascii="Garamond" w:eastAsia="Garamond" w:hAnsi="Garamond" w:cs="Garamond"/>
        </w:rPr>
      </w:pPr>
      <w:r w:rsidRPr="00C04C4B">
        <w:rPr>
          <w:rFonts w:ascii="Garamond" w:eastAsia="Garamond" w:hAnsi="Garamond" w:cs="Garamond"/>
        </w:rPr>
        <w:t>Las características de las garantías son las siguientes:</w:t>
      </w:r>
    </w:p>
    <w:tbl>
      <w:tblPr>
        <w:tblStyle w:val="aff5"/>
        <w:tblpPr w:leftFromText="141" w:rightFromText="141" w:vertAnchor="text" w:tblpY="180"/>
        <w:tblW w:w="93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1"/>
        <w:gridCol w:w="7815"/>
      </w:tblGrid>
      <w:tr w:rsidR="0022086B" w:rsidRPr="00C04C4B" w14:paraId="5511236E" w14:textId="77777777">
        <w:trPr>
          <w:trHeight w:val="227"/>
          <w:tblHeader/>
        </w:trPr>
        <w:tc>
          <w:tcPr>
            <w:tcW w:w="1561" w:type="dxa"/>
            <w:tcBorders>
              <w:bottom w:val="single" w:sz="4" w:space="0" w:color="000000"/>
              <w:right w:val="single" w:sz="4" w:space="0" w:color="000000"/>
            </w:tcBorders>
            <w:shd w:val="clear" w:color="auto" w:fill="404040"/>
          </w:tcPr>
          <w:p w14:paraId="15F53457" w14:textId="77777777" w:rsidR="0022086B" w:rsidRPr="00C04C4B" w:rsidRDefault="0065443B">
            <w:pPr>
              <w:jc w:val="both"/>
              <w:rPr>
                <w:rFonts w:ascii="Garamond" w:eastAsia="Garamond" w:hAnsi="Garamond" w:cs="Garamond"/>
              </w:rPr>
            </w:pPr>
            <w:r w:rsidRPr="00C04C4B">
              <w:rPr>
                <w:rFonts w:ascii="Garamond" w:eastAsia="Garamond" w:hAnsi="Garamond" w:cs="Garamond"/>
              </w:rPr>
              <w:t>Característica</w:t>
            </w:r>
          </w:p>
        </w:tc>
        <w:tc>
          <w:tcPr>
            <w:tcW w:w="7815" w:type="dxa"/>
            <w:tcBorders>
              <w:left w:val="single" w:sz="4" w:space="0" w:color="000000"/>
              <w:bottom w:val="single" w:sz="4" w:space="0" w:color="000000"/>
            </w:tcBorders>
            <w:shd w:val="clear" w:color="auto" w:fill="404040"/>
          </w:tcPr>
          <w:p w14:paraId="7AE59850" w14:textId="77777777" w:rsidR="0022086B" w:rsidRPr="00C04C4B" w:rsidRDefault="0065443B">
            <w:pPr>
              <w:jc w:val="both"/>
              <w:rPr>
                <w:rFonts w:ascii="Garamond" w:eastAsia="Garamond" w:hAnsi="Garamond" w:cs="Garamond"/>
              </w:rPr>
            </w:pPr>
            <w:r w:rsidRPr="00C04C4B">
              <w:rPr>
                <w:rFonts w:ascii="Garamond" w:eastAsia="Garamond" w:hAnsi="Garamond" w:cs="Garamond"/>
              </w:rPr>
              <w:t>Condición</w:t>
            </w:r>
          </w:p>
        </w:tc>
      </w:tr>
      <w:tr w:rsidR="0022086B" w:rsidRPr="00C04C4B" w14:paraId="04133D99" w14:textId="77777777">
        <w:trPr>
          <w:trHeight w:val="450"/>
        </w:trPr>
        <w:tc>
          <w:tcPr>
            <w:tcW w:w="1561" w:type="dxa"/>
            <w:tcBorders>
              <w:top w:val="single" w:sz="4" w:space="0" w:color="000000"/>
              <w:bottom w:val="single" w:sz="4" w:space="0" w:color="000000"/>
              <w:right w:val="single" w:sz="4" w:space="0" w:color="000000"/>
            </w:tcBorders>
          </w:tcPr>
          <w:p w14:paraId="0D89223C" w14:textId="77777777" w:rsidR="0022086B" w:rsidRPr="00C04C4B" w:rsidRDefault="0065443B">
            <w:pPr>
              <w:jc w:val="both"/>
              <w:rPr>
                <w:rFonts w:ascii="Garamond" w:eastAsia="Garamond" w:hAnsi="Garamond" w:cs="Garamond"/>
              </w:rPr>
            </w:pPr>
            <w:r w:rsidRPr="00C04C4B">
              <w:rPr>
                <w:rFonts w:ascii="Garamond" w:eastAsia="Garamond" w:hAnsi="Garamond" w:cs="Garamond"/>
              </w:rPr>
              <w:t>Clase</w:t>
            </w:r>
          </w:p>
        </w:tc>
        <w:tc>
          <w:tcPr>
            <w:tcW w:w="7815" w:type="dxa"/>
            <w:tcBorders>
              <w:top w:val="single" w:sz="4" w:space="0" w:color="000000"/>
              <w:left w:val="single" w:sz="4" w:space="0" w:color="000000"/>
              <w:bottom w:val="single" w:sz="4" w:space="0" w:color="000000"/>
            </w:tcBorders>
          </w:tcPr>
          <w:p w14:paraId="60F30128" w14:textId="77777777" w:rsidR="0022086B" w:rsidRPr="00C04C4B" w:rsidRDefault="0065443B">
            <w:pPr>
              <w:jc w:val="both"/>
              <w:rPr>
                <w:rFonts w:ascii="Garamond" w:eastAsia="Garamond" w:hAnsi="Garamond" w:cs="Garamond"/>
              </w:rPr>
            </w:pPr>
            <w:r w:rsidRPr="00C04C4B">
              <w:rPr>
                <w:rFonts w:ascii="Garamond" w:eastAsia="Garamond" w:hAnsi="Garamond" w:cs="Garamond"/>
              </w:rPr>
              <w:t>Cualquiera de las clases permitidas por el artículo 2.2.1.2.3.1.2 del Decreto 1082 de 2015, a saber:</w:t>
            </w:r>
          </w:p>
          <w:p w14:paraId="65803F8F" w14:textId="77777777" w:rsidR="0022086B" w:rsidRPr="00C04C4B" w:rsidRDefault="0065443B">
            <w:pPr>
              <w:jc w:val="both"/>
              <w:rPr>
                <w:rFonts w:ascii="Garamond" w:eastAsia="Garamond" w:hAnsi="Garamond" w:cs="Garamond"/>
              </w:rPr>
            </w:pPr>
            <w:r w:rsidRPr="00C04C4B">
              <w:rPr>
                <w:rFonts w:ascii="Garamond" w:eastAsia="Garamond" w:hAnsi="Garamond" w:cs="Garamond"/>
              </w:rPr>
              <w:t>(i) contrato de seguro contenido en una póliza, (</w:t>
            </w:r>
            <w:proofErr w:type="spellStart"/>
            <w:r w:rsidRPr="00C04C4B">
              <w:rPr>
                <w:rFonts w:ascii="Garamond" w:eastAsia="Garamond" w:hAnsi="Garamond" w:cs="Garamond"/>
              </w:rPr>
              <w:t>ii</w:t>
            </w:r>
            <w:proofErr w:type="spellEnd"/>
            <w:r w:rsidRPr="00C04C4B">
              <w:rPr>
                <w:rFonts w:ascii="Garamond" w:eastAsia="Garamond" w:hAnsi="Garamond" w:cs="Garamond"/>
              </w:rPr>
              <w:t>) Patrimonio autónomo y (</w:t>
            </w:r>
            <w:proofErr w:type="spellStart"/>
            <w:r w:rsidRPr="00C04C4B">
              <w:rPr>
                <w:rFonts w:ascii="Garamond" w:eastAsia="Garamond" w:hAnsi="Garamond" w:cs="Garamond"/>
              </w:rPr>
              <w:t>iii</w:t>
            </w:r>
            <w:proofErr w:type="spellEnd"/>
            <w:r w:rsidRPr="00C04C4B">
              <w:rPr>
                <w:rFonts w:ascii="Garamond" w:eastAsia="Garamond" w:hAnsi="Garamond" w:cs="Garamond"/>
              </w:rPr>
              <w:t>) Garantía Bancaria.</w:t>
            </w:r>
          </w:p>
        </w:tc>
      </w:tr>
      <w:tr w:rsidR="0022086B" w:rsidRPr="00C04C4B" w14:paraId="5824AD3B" w14:textId="77777777">
        <w:trPr>
          <w:trHeight w:val="450"/>
        </w:trPr>
        <w:tc>
          <w:tcPr>
            <w:tcW w:w="1561" w:type="dxa"/>
            <w:tcBorders>
              <w:top w:val="single" w:sz="4" w:space="0" w:color="000000"/>
              <w:bottom w:val="single" w:sz="4" w:space="0" w:color="000000"/>
              <w:right w:val="single" w:sz="4" w:space="0" w:color="000000"/>
            </w:tcBorders>
          </w:tcPr>
          <w:p w14:paraId="712ED897" w14:textId="77777777" w:rsidR="0022086B" w:rsidRPr="00C04C4B" w:rsidRDefault="0065443B">
            <w:pPr>
              <w:jc w:val="both"/>
              <w:rPr>
                <w:rFonts w:ascii="Garamond" w:eastAsia="Garamond" w:hAnsi="Garamond" w:cs="Garamond"/>
              </w:rPr>
            </w:pPr>
            <w:r w:rsidRPr="00C04C4B">
              <w:rPr>
                <w:rFonts w:ascii="Garamond" w:eastAsia="Garamond" w:hAnsi="Garamond" w:cs="Garamond"/>
              </w:rPr>
              <w:t>Asegurado/</w:t>
            </w:r>
          </w:p>
          <w:p w14:paraId="2D381A09" w14:textId="77777777" w:rsidR="0022086B" w:rsidRPr="00C04C4B" w:rsidRDefault="0065443B">
            <w:pPr>
              <w:jc w:val="both"/>
              <w:rPr>
                <w:rFonts w:ascii="Garamond" w:eastAsia="Garamond" w:hAnsi="Garamond" w:cs="Garamond"/>
              </w:rPr>
            </w:pPr>
            <w:r w:rsidRPr="00C04C4B">
              <w:rPr>
                <w:rFonts w:ascii="Garamond" w:eastAsia="Garamond" w:hAnsi="Garamond" w:cs="Garamond"/>
              </w:rPr>
              <w:t>Beneficiario</w:t>
            </w:r>
          </w:p>
        </w:tc>
        <w:tc>
          <w:tcPr>
            <w:tcW w:w="7815" w:type="dxa"/>
            <w:tcBorders>
              <w:top w:val="single" w:sz="4" w:space="0" w:color="000000"/>
              <w:left w:val="single" w:sz="4" w:space="0" w:color="000000"/>
              <w:bottom w:val="single" w:sz="4" w:space="0" w:color="000000"/>
            </w:tcBorders>
          </w:tcPr>
          <w:p w14:paraId="5C4B8470" w14:textId="77777777" w:rsidR="0022086B" w:rsidRPr="00C04C4B" w:rsidRDefault="0065443B">
            <w:pPr>
              <w:jc w:val="both"/>
              <w:rPr>
                <w:rFonts w:ascii="Garamond" w:eastAsia="Garamond" w:hAnsi="Garamond" w:cs="Garamond"/>
              </w:rPr>
            </w:pPr>
            <w:r w:rsidRPr="00C04C4B">
              <w:rPr>
                <w:rFonts w:ascii="Garamond" w:eastAsia="Garamond" w:hAnsi="Garamond" w:cs="Garamond"/>
              </w:rPr>
              <w:t xml:space="preserve">FONDO DE DESARROLLO LOCAL DE TUNJUELITO identificada con el </w:t>
            </w:r>
            <w:proofErr w:type="spellStart"/>
            <w:r w:rsidRPr="00C04C4B">
              <w:rPr>
                <w:rFonts w:ascii="Garamond" w:eastAsia="Garamond" w:hAnsi="Garamond" w:cs="Garamond"/>
              </w:rPr>
              <w:t>NIT</w:t>
            </w:r>
            <w:proofErr w:type="spellEnd"/>
            <w:r w:rsidRPr="00C04C4B">
              <w:rPr>
                <w:rFonts w:ascii="Garamond" w:eastAsia="Garamond" w:hAnsi="Garamond" w:cs="Garamond"/>
              </w:rPr>
              <w:t xml:space="preserve"> 899.999.061-9</w:t>
            </w:r>
          </w:p>
        </w:tc>
      </w:tr>
      <w:tr w:rsidR="0022086B" w:rsidRPr="00C04C4B" w14:paraId="63826CB7" w14:textId="77777777">
        <w:trPr>
          <w:trHeight w:val="450"/>
        </w:trPr>
        <w:tc>
          <w:tcPr>
            <w:tcW w:w="1561" w:type="dxa"/>
            <w:tcBorders>
              <w:top w:val="single" w:sz="4" w:space="0" w:color="000000"/>
              <w:bottom w:val="single" w:sz="4" w:space="0" w:color="000000"/>
              <w:right w:val="single" w:sz="4" w:space="0" w:color="000000"/>
            </w:tcBorders>
          </w:tcPr>
          <w:p w14:paraId="12168388" w14:textId="77777777" w:rsidR="0022086B" w:rsidRPr="00C04C4B" w:rsidRDefault="0065443B">
            <w:pPr>
              <w:jc w:val="both"/>
              <w:rPr>
                <w:rFonts w:ascii="Garamond" w:eastAsia="Garamond" w:hAnsi="Garamond" w:cs="Garamond"/>
              </w:rPr>
            </w:pPr>
            <w:r w:rsidRPr="00C04C4B">
              <w:rPr>
                <w:rFonts w:ascii="Garamond" w:eastAsia="Garamond" w:hAnsi="Garamond" w:cs="Garamond"/>
              </w:rPr>
              <w:t>Amparos</w:t>
            </w:r>
          </w:p>
        </w:tc>
        <w:tc>
          <w:tcPr>
            <w:tcW w:w="7815" w:type="dxa"/>
            <w:tcBorders>
              <w:top w:val="single" w:sz="4" w:space="0" w:color="000000"/>
              <w:left w:val="single" w:sz="4" w:space="0" w:color="000000"/>
              <w:bottom w:val="single" w:sz="4" w:space="0" w:color="000000"/>
            </w:tcBorders>
          </w:tcPr>
          <w:p w14:paraId="04C0BCBF" w14:textId="77777777" w:rsidR="0022086B" w:rsidRPr="00C04C4B" w:rsidRDefault="0065443B">
            <w:pPr>
              <w:jc w:val="both"/>
              <w:rPr>
                <w:rFonts w:ascii="Garamond" w:eastAsia="Garamond" w:hAnsi="Garamond" w:cs="Garamond"/>
              </w:rPr>
            </w:pPr>
            <w:r w:rsidRPr="00C04C4B">
              <w:rPr>
                <w:rFonts w:ascii="Garamond" w:eastAsia="Garamond" w:hAnsi="Garamond" w:cs="Garamond"/>
              </w:rPr>
              <w:t>La sanción derivada del incumplimiento del ofrecimiento en los eventos señalados en el artículo</w:t>
            </w:r>
          </w:p>
          <w:p w14:paraId="711591AC" w14:textId="77777777" w:rsidR="0022086B" w:rsidRPr="00C04C4B" w:rsidRDefault="0065443B">
            <w:pPr>
              <w:jc w:val="both"/>
              <w:rPr>
                <w:rFonts w:ascii="Garamond" w:eastAsia="Garamond" w:hAnsi="Garamond" w:cs="Garamond"/>
              </w:rPr>
            </w:pPr>
            <w:r w:rsidRPr="00C04C4B">
              <w:rPr>
                <w:rFonts w:ascii="Garamond" w:eastAsia="Garamond" w:hAnsi="Garamond" w:cs="Garamond"/>
              </w:rPr>
              <w:t>2.2.1.2.3.1.6 del Decreto 1082 de 2015 o la norma que la modifique, sustituya o complemente.</w:t>
            </w:r>
          </w:p>
        </w:tc>
      </w:tr>
      <w:tr w:rsidR="0022086B" w:rsidRPr="00C04C4B" w14:paraId="468AF48D" w14:textId="77777777">
        <w:trPr>
          <w:trHeight w:val="673"/>
        </w:trPr>
        <w:tc>
          <w:tcPr>
            <w:tcW w:w="1561" w:type="dxa"/>
            <w:tcBorders>
              <w:top w:val="single" w:sz="4" w:space="0" w:color="000000"/>
              <w:bottom w:val="single" w:sz="4" w:space="0" w:color="000000"/>
              <w:right w:val="single" w:sz="4" w:space="0" w:color="000000"/>
            </w:tcBorders>
          </w:tcPr>
          <w:p w14:paraId="1D91A4CA" w14:textId="77777777" w:rsidR="0022086B" w:rsidRPr="00C04C4B" w:rsidRDefault="0065443B">
            <w:pPr>
              <w:jc w:val="both"/>
              <w:rPr>
                <w:rFonts w:ascii="Garamond" w:eastAsia="Garamond" w:hAnsi="Garamond" w:cs="Garamond"/>
              </w:rPr>
            </w:pPr>
            <w:r w:rsidRPr="00C04C4B">
              <w:rPr>
                <w:rFonts w:ascii="Garamond" w:eastAsia="Garamond" w:hAnsi="Garamond" w:cs="Garamond"/>
              </w:rPr>
              <w:t>Vigencia</w:t>
            </w:r>
          </w:p>
        </w:tc>
        <w:tc>
          <w:tcPr>
            <w:tcW w:w="7815" w:type="dxa"/>
            <w:tcBorders>
              <w:top w:val="single" w:sz="4" w:space="0" w:color="000000"/>
              <w:left w:val="single" w:sz="4" w:space="0" w:color="000000"/>
              <w:bottom w:val="single" w:sz="4" w:space="0" w:color="000000"/>
            </w:tcBorders>
          </w:tcPr>
          <w:p w14:paraId="776B99F8" w14:textId="77777777" w:rsidR="0022086B" w:rsidRPr="00C04C4B" w:rsidRDefault="0065443B">
            <w:pPr>
              <w:jc w:val="both"/>
              <w:rPr>
                <w:rFonts w:ascii="Garamond" w:eastAsia="Garamond" w:hAnsi="Garamond" w:cs="Garamond"/>
              </w:rPr>
            </w:pPr>
            <w:r w:rsidRPr="00C04C4B">
              <w:rPr>
                <w:rFonts w:ascii="Garamond" w:eastAsia="Garamond" w:hAnsi="Garamond" w:cs="Garamond"/>
              </w:rPr>
              <w:t>3 meses contados a partir de la fecha de cierre del Proceso de Contratación. En caso de modificarse la fecha del cierre del proceso, se tendrá como referencia para establecer el plazo de vigencia del</w:t>
            </w:r>
          </w:p>
          <w:p w14:paraId="75FEAEF5" w14:textId="77777777" w:rsidR="0022086B" w:rsidRPr="00C04C4B" w:rsidRDefault="0065443B">
            <w:pPr>
              <w:jc w:val="both"/>
              <w:rPr>
                <w:rFonts w:ascii="Garamond" w:eastAsia="Garamond" w:hAnsi="Garamond" w:cs="Garamond"/>
              </w:rPr>
            </w:pPr>
            <w:r w:rsidRPr="00C04C4B">
              <w:rPr>
                <w:rFonts w:ascii="Garamond" w:eastAsia="Garamond" w:hAnsi="Garamond" w:cs="Garamond"/>
              </w:rPr>
              <w:t>certificado la fecha originalmente definida en el Pliego de Condiciones.</w:t>
            </w:r>
          </w:p>
        </w:tc>
      </w:tr>
      <w:tr w:rsidR="0022086B" w:rsidRPr="00C04C4B" w14:paraId="70616365" w14:textId="77777777">
        <w:trPr>
          <w:trHeight w:val="226"/>
        </w:trPr>
        <w:tc>
          <w:tcPr>
            <w:tcW w:w="1561" w:type="dxa"/>
            <w:tcBorders>
              <w:top w:val="single" w:sz="4" w:space="0" w:color="000000"/>
              <w:bottom w:val="single" w:sz="4" w:space="0" w:color="000000"/>
              <w:right w:val="single" w:sz="4" w:space="0" w:color="000000"/>
            </w:tcBorders>
          </w:tcPr>
          <w:p w14:paraId="5BD48F53" w14:textId="77777777" w:rsidR="0022086B" w:rsidRPr="00C04C4B" w:rsidRDefault="0065443B">
            <w:pPr>
              <w:jc w:val="both"/>
              <w:rPr>
                <w:rFonts w:ascii="Garamond" w:eastAsia="Garamond" w:hAnsi="Garamond" w:cs="Garamond"/>
              </w:rPr>
            </w:pPr>
            <w:r w:rsidRPr="00C04C4B">
              <w:rPr>
                <w:rFonts w:ascii="Garamond" w:eastAsia="Garamond" w:hAnsi="Garamond" w:cs="Garamond"/>
              </w:rPr>
              <w:t>Valor Asegurado</w:t>
            </w:r>
          </w:p>
        </w:tc>
        <w:tc>
          <w:tcPr>
            <w:tcW w:w="7815" w:type="dxa"/>
            <w:tcBorders>
              <w:top w:val="single" w:sz="4" w:space="0" w:color="000000"/>
              <w:left w:val="single" w:sz="4" w:space="0" w:color="000000"/>
              <w:bottom w:val="single" w:sz="4" w:space="0" w:color="000000"/>
            </w:tcBorders>
          </w:tcPr>
          <w:p w14:paraId="048B55A6" w14:textId="77777777" w:rsidR="0022086B" w:rsidRPr="00C04C4B" w:rsidRDefault="0065443B">
            <w:pPr>
              <w:jc w:val="both"/>
              <w:rPr>
                <w:rFonts w:ascii="Garamond" w:eastAsia="Garamond" w:hAnsi="Garamond" w:cs="Garamond"/>
              </w:rPr>
            </w:pPr>
            <w:r w:rsidRPr="00C04C4B">
              <w:rPr>
                <w:rFonts w:ascii="Garamond" w:eastAsia="Garamond" w:hAnsi="Garamond" w:cs="Garamond"/>
              </w:rPr>
              <w:t>Diez por ciento (10%) del Presupuesto Oficial del Proceso de Contratación</w:t>
            </w:r>
          </w:p>
        </w:tc>
      </w:tr>
      <w:tr w:rsidR="0022086B" w:rsidRPr="00C04C4B" w14:paraId="1B904978" w14:textId="77777777">
        <w:trPr>
          <w:trHeight w:val="1860"/>
        </w:trPr>
        <w:tc>
          <w:tcPr>
            <w:tcW w:w="1561" w:type="dxa"/>
            <w:tcBorders>
              <w:top w:val="single" w:sz="4" w:space="0" w:color="000000"/>
              <w:right w:val="single" w:sz="4" w:space="0" w:color="000000"/>
            </w:tcBorders>
          </w:tcPr>
          <w:p w14:paraId="632F0C54" w14:textId="77777777" w:rsidR="0022086B" w:rsidRPr="00C04C4B" w:rsidRDefault="0022086B">
            <w:pPr>
              <w:jc w:val="both"/>
              <w:rPr>
                <w:rFonts w:ascii="Garamond" w:eastAsia="Garamond" w:hAnsi="Garamond" w:cs="Garamond"/>
              </w:rPr>
            </w:pPr>
          </w:p>
          <w:p w14:paraId="1EF8EF6C" w14:textId="77777777" w:rsidR="0022086B" w:rsidRPr="00C04C4B" w:rsidRDefault="0022086B">
            <w:pPr>
              <w:jc w:val="both"/>
              <w:rPr>
                <w:rFonts w:ascii="Garamond" w:eastAsia="Garamond" w:hAnsi="Garamond" w:cs="Garamond"/>
              </w:rPr>
            </w:pPr>
          </w:p>
          <w:p w14:paraId="4F05D435" w14:textId="77777777" w:rsidR="0022086B" w:rsidRPr="00C04C4B" w:rsidRDefault="0022086B">
            <w:pPr>
              <w:jc w:val="both"/>
              <w:rPr>
                <w:rFonts w:ascii="Garamond" w:eastAsia="Garamond" w:hAnsi="Garamond" w:cs="Garamond"/>
              </w:rPr>
            </w:pPr>
          </w:p>
          <w:p w14:paraId="2DAAC428" w14:textId="77777777" w:rsidR="0022086B" w:rsidRPr="00C04C4B" w:rsidRDefault="0065443B">
            <w:pPr>
              <w:jc w:val="both"/>
              <w:rPr>
                <w:rFonts w:ascii="Garamond" w:eastAsia="Garamond" w:hAnsi="Garamond" w:cs="Garamond"/>
              </w:rPr>
            </w:pPr>
            <w:r w:rsidRPr="00C04C4B">
              <w:rPr>
                <w:rFonts w:ascii="Garamond" w:eastAsia="Garamond" w:hAnsi="Garamond" w:cs="Garamond"/>
              </w:rPr>
              <w:t>Tomador</w:t>
            </w:r>
          </w:p>
        </w:tc>
        <w:tc>
          <w:tcPr>
            <w:tcW w:w="7815" w:type="dxa"/>
            <w:tcBorders>
              <w:top w:val="single" w:sz="4" w:space="0" w:color="000000"/>
              <w:left w:val="single" w:sz="4" w:space="0" w:color="000000"/>
            </w:tcBorders>
          </w:tcPr>
          <w:p w14:paraId="0B33F047" w14:textId="77777777" w:rsidR="0022086B" w:rsidRPr="00C04C4B" w:rsidRDefault="0065443B">
            <w:pPr>
              <w:jc w:val="both"/>
              <w:rPr>
                <w:rFonts w:ascii="Garamond" w:eastAsia="Garamond" w:hAnsi="Garamond" w:cs="Garamond"/>
              </w:rPr>
            </w:pPr>
            <w:r w:rsidRPr="00C04C4B">
              <w:rPr>
                <w:rFonts w:ascii="Garamond" w:eastAsia="Garamond" w:hAnsi="Garamond" w:cs="Garamond"/>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14:paraId="62957AAE" w14:textId="77777777" w:rsidR="0022086B" w:rsidRPr="00C04C4B" w:rsidRDefault="0065443B">
            <w:pPr>
              <w:jc w:val="both"/>
              <w:rPr>
                <w:rFonts w:ascii="Garamond" w:eastAsia="Garamond" w:hAnsi="Garamond" w:cs="Garamond"/>
              </w:rPr>
            </w:pPr>
            <w:r w:rsidRPr="00C04C4B">
              <w:rPr>
                <w:rFonts w:ascii="Garamond" w:eastAsia="Garamond" w:hAnsi="Garamond" w:cs="Garamond"/>
              </w:rPr>
              <w:t>Para los Proponentes Plurales: la Garantía deberá ser otorgada por todos los integrantes del Proponente Plural, para lo cual se tiene que relacionar claramente los integrantes, su identificación y porcentaje de participación, quienes para todos los efectos serán los otorgantes de esta.</w:t>
            </w:r>
          </w:p>
        </w:tc>
      </w:tr>
    </w:tbl>
    <w:p w14:paraId="095F356C" w14:textId="77777777" w:rsidR="0022086B" w:rsidRPr="00C04C4B" w:rsidRDefault="0065443B">
      <w:pPr>
        <w:ind w:left="2160" w:firstLine="720"/>
        <w:jc w:val="both"/>
        <w:rPr>
          <w:rFonts w:ascii="Garamond" w:eastAsia="Garamond" w:hAnsi="Garamond" w:cs="Garamond"/>
        </w:rPr>
      </w:pPr>
      <w:r w:rsidRPr="00C04C4B">
        <w:rPr>
          <w:rFonts w:ascii="Garamond" w:eastAsia="Garamond" w:hAnsi="Garamond" w:cs="Garamond"/>
        </w:rPr>
        <w:t>Tabla No. 22</w:t>
      </w:r>
    </w:p>
    <w:p w14:paraId="249125E3" w14:textId="77777777" w:rsidR="0022086B" w:rsidRPr="00C04C4B" w:rsidRDefault="0022086B">
      <w:pPr>
        <w:jc w:val="both"/>
        <w:rPr>
          <w:rFonts w:ascii="Garamond" w:eastAsia="Garamond" w:hAnsi="Garamond" w:cs="Garamond"/>
        </w:rPr>
      </w:pPr>
    </w:p>
    <w:p w14:paraId="6F672B09" w14:textId="77777777" w:rsidR="0022086B" w:rsidRPr="00C04C4B" w:rsidRDefault="0065443B">
      <w:pPr>
        <w:jc w:val="both"/>
        <w:rPr>
          <w:rFonts w:ascii="Garamond" w:eastAsia="Garamond" w:hAnsi="Garamond" w:cs="Garamond"/>
        </w:rPr>
      </w:pPr>
      <w:r w:rsidRPr="00C04C4B">
        <w:rPr>
          <w:rFonts w:ascii="Garamond" w:eastAsia="Garamond" w:hAnsi="Garamond" w:cs="Garamond"/>
        </w:rPr>
        <w:t>Si en desarrollo del proceso de selección se modifica el cronograma, el proponente deberá ampliar la vigencia de la garantía de seriedad de la oferta hasta tanto no se haya perfeccionado y cumplido los requisitos de ejecución del respectivo contrato.</w:t>
      </w:r>
    </w:p>
    <w:p w14:paraId="63EAF39A" w14:textId="77777777" w:rsidR="0022086B" w:rsidRPr="00C04C4B" w:rsidRDefault="0022086B">
      <w:pPr>
        <w:jc w:val="both"/>
        <w:rPr>
          <w:rFonts w:ascii="Garamond" w:eastAsia="Garamond" w:hAnsi="Garamond" w:cs="Garamond"/>
        </w:rPr>
      </w:pPr>
    </w:p>
    <w:p w14:paraId="59CA1490" w14:textId="798CD178" w:rsidR="0022086B" w:rsidRPr="00C04C4B" w:rsidRDefault="0065443B">
      <w:pPr>
        <w:jc w:val="both"/>
        <w:rPr>
          <w:rFonts w:ascii="Garamond" w:eastAsia="Garamond" w:hAnsi="Garamond" w:cs="Garamond"/>
        </w:rPr>
      </w:pPr>
      <w:r w:rsidRPr="00C04C4B">
        <w:rPr>
          <w:rFonts w:ascii="Garamond" w:eastAsia="Garamond" w:hAnsi="Garamond" w:cs="Garamond"/>
        </w:rPr>
        <w:t>La propuesta tendrá una validez igual al término de vigencia establecido para la garantía de seriedad de</w:t>
      </w:r>
      <w:r w:rsidR="00D023FE">
        <w:rPr>
          <w:rFonts w:ascii="Garamond" w:eastAsia="Garamond" w:hAnsi="Garamond" w:cs="Garamond"/>
        </w:rPr>
        <w:t xml:space="preserve"> </w:t>
      </w:r>
      <w:r w:rsidRPr="00C04C4B">
        <w:rPr>
          <w:rFonts w:ascii="Garamond" w:eastAsia="Garamond" w:hAnsi="Garamond" w:cs="Garamond"/>
        </w:rPr>
        <w:t xml:space="preserve">la oferta. Durante este período la propuesta será irrevocable, de tal manera que el proponente no podrá retirar ni modificar los términos o condiciones de la misma, so pena de que la entidad pueda hacer </w:t>
      </w:r>
    </w:p>
    <w:p w14:paraId="24AF530C" w14:textId="77777777" w:rsidR="003922A9" w:rsidRPr="00C04C4B" w:rsidRDefault="0065443B" w:rsidP="003922A9">
      <w:pPr>
        <w:pStyle w:val="NormalWeb"/>
        <w:jc w:val="both"/>
        <w:rPr>
          <w:rFonts w:ascii="Garamond" w:eastAsia="Garamond" w:hAnsi="Garamond" w:cs="Garamond"/>
          <w:sz w:val="22"/>
          <w:szCs w:val="22"/>
        </w:rPr>
      </w:pPr>
      <w:r w:rsidRPr="00C04C4B">
        <w:rPr>
          <w:rFonts w:ascii="Garamond" w:eastAsia="Garamond" w:hAnsi="Garamond" w:cs="Garamond"/>
          <w:sz w:val="22"/>
          <w:szCs w:val="22"/>
        </w:rPr>
        <w:t>efectiva la garantía de seriedad de la oferta.</w:t>
      </w:r>
      <w:r w:rsidR="003922A9" w:rsidRPr="00C04C4B">
        <w:rPr>
          <w:rFonts w:ascii="Garamond" w:eastAsia="Garamond" w:hAnsi="Garamond" w:cs="Garamond"/>
          <w:sz w:val="22"/>
          <w:szCs w:val="22"/>
        </w:rPr>
        <w:t xml:space="preserve"> </w:t>
      </w:r>
    </w:p>
    <w:p w14:paraId="465336B3" w14:textId="77777777" w:rsidR="003922A9" w:rsidRPr="00C04C4B" w:rsidRDefault="003922A9" w:rsidP="003922A9">
      <w:pPr>
        <w:pStyle w:val="NormalWeb"/>
        <w:jc w:val="both"/>
        <w:rPr>
          <w:rFonts w:ascii="Garamond" w:eastAsia="Garamond" w:hAnsi="Garamond" w:cs="Garamond"/>
          <w:sz w:val="22"/>
          <w:szCs w:val="22"/>
        </w:rPr>
      </w:pPr>
    </w:p>
    <w:p w14:paraId="3272C859" w14:textId="7511C8DA" w:rsidR="003922A9" w:rsidRPr="00C04C4B" w:rsidRDefault="003922A9" w:rsidP="001C3E26">
      <w:pPr>
        <w:pStyle w:val="NormalWeb"/>
        <w:jc w:val="both"/>
        <w:rPr>
          <w:rFonts w:ascii="Garamond" w:eastAsia="Garamond" w:hAnsi="Garamond" w:cs="Garamond"/>
          <w:kern w:val="0"/>
          <w:sz w:val="22"/>
          <w:szCs w:val="22"/>
          <w:lang w:val="es" w:eastAsia="es-CO"/>
        </w:rPr>
      </w:pPr>
      <w:r w:rsidRPr="00C04C4B">
        <w:rPr>
          <w:rFonts w:ascii="Garamond" w:eastAsia="Garamond" w:hAnsi="Garamond" w:cs="Garamond"/>
          <w:kern w:val="0"/>
          <w:sz w:val="22"/>
          <w:szCs w:val="22"/>
          <w:lang w:val="es" w:eastAsia="es-CO"/>
        </w:rPr>
        <w:t>El oferente declara que conoce y acepta que, de conformidad con lo previsto en el artículo 2.2.1.2.3.1.6 del Decreto 1082 de 2015, la Entidad podrá hacer efectiva la garantía de seriedad de la oferta o, en su defecto, cobrar los perjuicios derivados del incumplimiento del ofrecimiento, en los siguientes eventos:</w:t>
      </w:r>
    </w:p>
    <w:p w14:paraId="787CD7DE" w14:textId="77777777" w:rsidR="003922A9" w:rsidRPr="00C04C4B" w:rsidRDefault="003922A9" w:rsidP="00A23238">
      <w:pPr>
        <w:widowControl/>
        <w:numPr>
          <w:ilvl w:val="0"/>
          <w:numId w:val="18"/>
        </w:numPr>
        <w:spacing w:before="100" w:beforeAutospacing="1" w:after="100" w:afterAutospacing="1"/>
        <w:jc w:val="both"/>
        <w:rPr>
          <w:rFonts w:ascii="Garamond" w:eastAsia="Garamond" w:hAnsi="Garamond" w:cs="Garamond"/>
        </w:rPr>
      </w:pPr>
      <w:r w:rsidRPr="00C04C4B">
        <w:rPr>
          <w:rFonts w:ascii="Garamond" w:eastAsia="Garamond" w:hAnsi="Garamond" w:cs="Garamond"/>
        </w:rPr>
        <w:t>Cuando el proponente favorecido no suscriba el contrato sin justa causa dentro del término señalado por la Entidad.</w:t>
      </w:r>
    </w:p>
    <w:p w14:paraId="6872622C" w14:textId="77777777" w:rsidR="003922A9" w:rsidRPr="00C04C4B" w:rsidRDefault="003922A9" w:rsidP="00A23238">
      <w:pPr>
        <w:widowControl/>
        <w:numPr>
          <w:ilvl w:val="0"/>
          <w:numId w:val="18"/>
        </w:numPr>
        <w:spacing w:before="100" w:beforeAutospacing="1" w:after="100" w:afterAutospacing="1"/>
        <w:jc w:val="both"/>
        <w:rPr>
          <w:rFonts w:ascii="Garamond" w:eastAsia="Garamond" w:hAnsi="Garamond" w:cs="Garamond"/>
        </w:rPr>
      </w:pPr>
      <w:r w:rsidRPr="00C04C4B">
        <w:rPr>
          <w:rFonts w:ascii="Garamond" w:eastAsia="Garamond" w:hAnsi="Garamond" w:cs="Garamond"/>
        </w:rPr>
        <w:t>Cuando el proponente no constituya o no haga llegar dentro del plazo establecido las garantías exigidas para la formalización y ejecución del contrato.</w:t>
      </w:r>
    </w:p>
    <w:p w14:paraId="072D1C03" w14:textId="77777777" w:rsidR="003922A9" w:rsidRPr="00C04C4B" w:rsidRDefault="003922A9" w:rsidP="00A23238">
      <w:pPr>
        <w:widowControl/>
        <w:numPr>
          <w:ilvl w:val="0"/>
          <w:numId w:val="18"/>
        </w:numPr>
        <w:spacing w:before="100" w:beforeAutospacing="1" w:after="100" w:afterAutospacing="1"/>
        <w:jc w:val="both"/>
        <w:rPr>
          <w:rFonts w:ascii="Garamond" w:eastAsia="Garamond" w:hAnsi="Garamond" w:cs="Garamond"/>
        </w:rPr>
      </w:pPr>
      <w:r w:rsidRPr="00C04C4B">
        <w:rPr>
          <w:rFonts w:ascii="Garamond" w:eastAsia="Garamond" w:hAnsi="Garamond" w:cs="Garamond"/>
        </w:rPr>
        <w:t>Cuando el proponente no atienda los requerimientos de la Entidad relacionados con la perfección y legalización del contrato, necesarios para su inicio.</w:t>
      </w:r>
    </w:p>
    <w:p w14:paraId="68985363" w14:textId="77777777" w:rsidR="003922A9" w:rsidRPr="00C04C4B" w:rsidRDefault="003922A9" w:rsidP="00A23238">
      <w:pPr>
        <w:widowControl/>
        <w:numPr>
          <w:ilvl w:val="0"/>
          <w:numId w:val="18"/>
        </w:numPr>
        <w:spacing w:before="100" w:beforeAutospacing="1" w:after="100" w:afterAutospacing="1"/>
        <w:jc w:val="both"/>
        <w:rPr>
          <w:rFonts w:ascii="Garamond" w:eastAsia="Garamond" w:hAnsi="Garamond" w:cs="Garamond"/>
        </w:rPr>
      </w:pPr>
      <w:r w:rsidRPr="00C04C4B">
        <w:rPr>
          <w:rFonts w:ascii="Garamond" w:eastAsia="Garamond" w:hAnsi="Garamond" w:cs="Garamond"/>
        </w:rPr>
        <w:t>Cuando el proponente retire, modifique o altere su oferta sin autorización de la Entidad dentro del término de su vigencia.</w:t>
      </w:r>
    </w:p>
    <w:p w14:paraId="36C3F4ED" w14:textId="77777777" w:rsidR="003922A9" w:rsidRPr="00C04C4B" w:rsidRDefault="003922A9" w:rsidP="00A23238">
      <w:pPr>
        <w:widowControl/>
        <w:numPr>
          <w:ilvl w:val="0"/>
          <w:numId w:val="18"/>
        </w:numPr>
        <w:spacing w:before="100" w:beforeAutospacing="1" w:after="100" w:afterAutospacing="1"/>
        <w:jc w:val="both"/>
        <w:rPr>
          <w:rFonts w:ascii="Garamond" w:eastAsia="Garamond" w:hAnsi="Garamond" w:cs="Garamond"/>
        </w:rPr>
      </w:pPr>
      <w:r w:rsidRPr="00C04C4B">
        <w:rPr>
          <w:rFonts w:ascii="Garamond" w:eastAsia="Garamond" w:hAnsi="Garamond" w:cs="Garamond"/>
        </w:rPr>
        <w:t>Cuando el proponente no prorrogue la vigencia de la garantía de seriedad de la oferta cuando la Entidad haya prorrogado el proceso de selección o la vigencia de la oferta.</w:t>
      </w:r>
    </w:p>
    <w:p w14:paraId="1697FA86" w14:textId="77777777" w:rsidR="003922A9" w:rsidRPr="00C04C4B" w:rsidRDefault="003922A9" w:rsidP="001C3E26">
      <w:pPr>
        <w:widowControl/>
        <w:spacing w:before="100" w:beforeAutospacing="1" w:after="100" w:afterAutospacing="1"/>
        <w:jc w:val="both"/>
        <w:rPr>
          <w:rFonts w:ascii="Garamond" w:eastAsia="Garamond" w:hAnsi="Garamond" w:cs="Garamond"/>
        </w:rPr>
      </w:pPr>
      <w:r w:rsidRPr="00C04C4B">
        <w:rPr>
          <w:rFonts w:ascii="Garamond" w:eastAsia="Garamond" w:hAnsi="Garamond" w:cs="Garamond"/>
        </w:rPr>
        <w:t>En cualquiera de estos eventos la Entidad aplicará lo dispuesto en la citada norma y en los pliegos de condiciones, dejando el correspondiente registro en el expediente contractual.</w:t>
      </w:r>
    </w:p>
    <w:p w14:paraId="3883C9E8" w14:textId="5F7292A9" w:rsidR="0022086B" w:rsidRPr="00C04C4B" w:rsidRDefault="0022086B">
      <w:pPr>
        <w:jc w:val="both"/>
        <w:rPr>
          <w:rFonts w:ascii="Garamond" w:eastAsia="Garamond" w:hAnsi="Garamond" w:cs="Garamond"/>
        </w:rPr>
      </w:pPr>
    </w:p>
    <w:p w14:paraId="32E5A1D9" w14:textId="77777777" w:rsidR="0022086B" w:rsidRPr="00C04C4B" w:rsidRDefault="0022086B">
      <w:pPr>
        <w:jc w:val="both"/>
        <w:rPr>
          <w:rFonts w:ascii="Garamond" w:eastAsia="Garamond" w:hAnsi="Garamond" w:cs="Garamond"/>
        </w:rPr>
      </w:pPr>
    </w:p>
    <w:p w14:paraId="2E7ED022" w14:textId="77777777" w:rsidR="0022086B" w:rsidRPr="00C04C4B" w:rsidRDefault="0065443B">
      <w:pPr>
        <w:jc w:val="both"/>
        <w:rPr>
          <w:rFonts w:ascii="Garamond" w:eastAsia="Garamond" w:hAnsi="Garamond" w:cs="Garamond"/>
          <w:b/>
        </w:rPr>
      </w:pPr>
      <w:r w:rsidRPr="00C04C4B">
        <w:rPr>
          <w:rFonts w:ascii="Garamond" w:eastAsia="Garamond" w:hAnsi="Garamond" w:cs="Garamond"/>
          <w:b/>
        </w:rPr>
        <w:t>GARANTÍAS DEL CONTRATO</w:t>
      </w:r>
    </w:p>
    <w:p w14:paraId="52037B12" w14:textId="77777777" w:rsidR="0022086B" w:rsidRPr="00C04C4B" w:rsidRDefault="0022086B">
      <w:pPr>
        <w:jc w:val="both"/>
        <w:rPr>
          <w:rFonts w:ascii="Garamond" w:eastAsia="Garamond" w:hAnsi="Garamond" w:cs="Garamond"/>
          <w:b/>
        </w:rPr>
      </w:pPr>
    </w:p>
    <w:p w14:paraId="6A954FC2" w14:textId="77777777" w:rsidR="0022086B" w:rsidRPr="00C04C4B" w:rsidRDefault="0065443B">
      <w:pPr>
        <w:jc w:val="both"/>
        <w:rPr>
          <w:rFonts w:ascii="Garamond" w:eastAsia="Garamond" w:hAnsi="Garamond" w:cs="Garamond"/>
          <w:b/>
        </w:rPr>
      </w:pPr>
      <w:r w:rsidRPr="00C04C4B">
        <w:rPr>
          <w:rFonts w:ascii="Garamond" w:eastAsia="Garamond" w:hAnsi="Garamond" w:cs="Garamond"/>
          <w:b/>
        </w:rPr>
        <w:t>GARANTÍA DE CUMPLIMIENTO</w:t>
      </w:r>
    </w:p>
    <w:p w14:paraId="7D21A6BB" w14:textId="77777777" w:rsidR="0022086B" w:rsidRPr="00C04C4B" w:rsidRDefault="0022086B">
      <w:pPr>
        <w:jc w:val="both"/>
        <w:rPr>
          <w:rFonts w:ascii="Garamond" w:eastAsia="Garamond" w:hAnsi="Garamond" w:cs="Garamond"/>
        </w:rPr>
      </w:pPr>
    </w:p>
    <w:tbl>
      <w:tblPr>
        <w:tblStyle w:val="aff6"/>
        <w:tblW w:w="9394" w:type="dxa"/>
        <w:tblInd w:w="0" w:type="dxa"/>
        <w:tblLayout w:type="fixed"/>
        <w:tblLook w:val="0400" w:firstRow="0" w:lastRow="0" w:firstColumn="0" w:lastColumn="0" w:noHBand="0" w:noVBand="1"/>
      </w:tblPr>
      <w:tblGrid>
        <w:gridCol w:w="1745"/>
        <w:gridCol w:w="1210"/>
        <w:gridCol w:w="2131"/>
        <w:gridCol w:w="1582"/>
        <w:gridCol w:w="1514"/>
        <w:gridCol w:w="1212"/>
      </w:tblGrid>
      <w:tr w:rsidR="0022086B" w:rsidRPr="00C04C4B" w14:paraId="6E958420" w14:textId="77777777">
        <w:trPr>
          <w:trHeight w:val="624"/>
          <w:tblHeader/>
        </w:trPr>
        <w:tc>
          <w:tcPr>
            <w:tcW w:w="1745" w:type="dxa"/>
            <w:tcBorders>
              <w:top w:val="single" w:sz="4" w:space="0" w:color="000000"/>
              <w:left w:val="single" w:sz="4" w:space="0" w:color="000000"/>
              <w:bottom w:val="single" w:sz="4" w:space="0" w:color="000000"/>
              <w:right w:val="single" w:sz="4" w:space="0" w:color="000000"/>
            </w:tcBorders>
            <w:shd w:val="clear" w:color="auto" w:fill="404040"/>
            <w:vAlign w:val="center"/>
          </w:tcPr>
          <w:p w14:paraId="0F064B4C"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t>Característica</w:t>
            </w:r>
          </w:p>
        </w:tc>
        <w:tc>
          <w:tcPr>
            <w:tcW w:w="7649" w:type="dxa"/>
            <w:gridSpan w:val="5"/>
            <w:tcBorders>
              <w:top w:val="single" w:sz="4" w:space="0" w:color="000000"/>
              <w:left w:val="nil"/>
              <w:bottom w:val="single" w:sz="4" w:space="0" w:color="000000"/>
              <w:right w:val="single" w:sz="4" w:space="0" w:color="000000"/>
            </w:tcBorders>
            <w:shd w:val="clear" w:color="auto" w:fill="404040"/>
            <w:vAlign w:val="center"/>
          </w:tcPr>
          <w:p w14:paraId="7F8363B8"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rPr>
              <w:t>Condición</w:t>
            </w:r>
          </w:p>
        </w:tc>
      </w:tr>
      <w:tr w:rsidR="0022086B" w:rsidRPr="00C04C4B" w14:paraId="264C6DC3" w14:textId="77777777">
        <w:trPr>
          <w:trHeight w:val="564"/>
        </w:trPr>
        <w:tc>
          <w:tcPr>
            <w:tcW w:w="1745" w:type="dxa"/>
            <w:tcBorders>
              <w:top w:val="nil"/>
              <w:left w:val="single" w:sz="4" w:space="0" w:color="000000"/>
              <w:bottom w:val="single" w:sz="4" w:space="0" w:color="000000"/>
              <w:right w:val="single" w:sz="4" w:space="0" w:color="000000"/>
            </w:tcBorders>
            <w:vAlign w:val="center"/>
          </w:tcPr>
          <w:p w14:paraId="78FAAA3F"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t> </w:t>
            </w:r>
          </w:p>
        </w:tc>
        <w:tc>
          <w:tcPr>
            <w:tcW w:w="7649" w:type="dxa"/>
            <w:gridSpan w:val="5"/>
            <w:tcBorders>
              <w:top w:val="single" w:sz="4" w:space="0" w:color="000000"/>
              <w:left w:val="nil"/>
              <w:bottom w:val="single" w:sz="4" w:space="0" w:color="000000"/>
              <w:right w:val="single" w:sz="4" w:space="0" w:color="000000"/>
            </w:tcBorders>
            <w:vAlign w:val="center"/>
          </w:tcPr>
          <w:p w14:paraId="43621F02"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t>Cualquiera de las clases permitidas por el artículo 2.2.1.2.3.1.2 del Decreto 1082 de 2015, a saber:</w:t>
            </w:r>
          </w:p>
        </w:tc>
      </w:tr>
      <w:tr w:rsidR="0022086B" w:rsidRPr="00C04C4B" w14:paraId="4F591EC9" w14:textId="77777777">
        <w:trPr>
          <w:trHeight w:val="564"/>
        </w:trPr>
        <w:tc>
          <w:tcPr>
            <w:tcW w:w="1745" w:type="dxa"/>
            <w:tcBorders>
              <w:top w:val="nil"/>
              <w:left w:val="single" w:sz="4" w:space="0" w:color="000000"/>
              <w:bottom w:val="single" w:sz="4" w:space="0" w:color="000000"/>
              <w:right w:val="single" w:sz="4" w:space="0" w:color="000000"/>
            </w:tcBorders>
            <w:vAlign w:val="center"/>
          </w:tcPr>
          <w:p w14:paraId="5D1BAA1B"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t>Clase</w:t>
            </w:r>
          </w:p>
        </w:tc>
        <w:tc>
          <w:tcPr>
            <w:tcW w:w="7649" w:type="dxa"/>
            <w:gridSpan w:val="5"/>
            <w:tcBorders>
              <w:top w:val="single" w:sz="4" w:space="0" w:color="000000"/>
              <w:left w:val="nil"/>
              <w:bottom w:val="single" w:sz="4" w:space="0" w:color="000000"/>
              <w:right w:val="single" w:sz="4" w:space="0" w:color="000000"/>
            </w:tcBorders>
            <w:vAlign w:val="center"/>
          </w:tcPr>
          <w:p w14:paraId="0959A69A"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t>(i) Contrato de seguro contenido en una póliza para Entidades Estatales, (</w:t>
            </w:r>
            <w:proofErr w:type="spellStart"/>
            <w:r w:rsidRPr="00C04C4B">
              <w:rPr>
                <w:rFonts w:ascii="Garamond" w:eastAsia="Garamond" w:hAnsi="Garamond" w:cs="Garamond"/>
                <w:color w:val="000000"/>
              </w:rPr>
              <w:t>ii</w:t>
            </w:r>
            <w:proofErr w:type="spellEnd"/>
            <w:r w:rsidRPr="00C04C4B">
              <w:rPr>
                <w:rFonts w:ascii="Garamond" w:eastAsia="Garamond" w:hAnsi="Garamond" w:cs="Garamond"/>
                <w:color w:val="000000"/>
              </w:rPr>
              <w:t>) Patrimonio autónomo, (</w:t>
            </w:r>
            <w:proofErr w:type="spellStart"/>
            <w:r w:rsidRPr="00C04C4B">
              <w:rPr>
                <w:rFonts w:ascii="Garamond" w:eastAsia="Garamond" w:hAnsi="Garamond" w:cs="Garamond"/>
                <w:color w:val="000000"/>
              </w:rPr>
              <w:t>iii</w:t>
            </w:r>
            <w:proofErr w:type="spellEnd"/>
            <w:r w:rsidRPr="00C04C4B">
              <w:rPr>
                <w:rFonts w:ascii="Garamond" w:eastAsia="Garamond" w:hAnsi="Garamond" w:cs="Garamond"/>
                <w:color w:val="000000"/>
              </w:rPr>
              <w:t>) Garantía Bancaria.</w:t>
            </w:r>
          </w:p>
        </w:tc>
      </w:tr>
      <w:tr w:rsidR="0022086B" w:rsidRPr="00C04C4B" w14:paraId="4FEE300E" w14:textId="77777777">
        <w:trPr>
          <w:trHeight w:val="636"/>
        </w:trPr>
        <w:tc>
          <w:tcPr>
            <w:tcW w:w="1745" w:type="dxa"/>
            <w:tcBorders>
              <w:top w:val="nil"/>
              <w:left w:val="single" w:sz="4" w:space="0" w:color="000000"/>
              <w:bottom w:val="single" w:sz="4" w:space="0" w:color="000000"/>
              <w:right w:val="single" w:sz="4" w:space="0" w:color="000000"/>
            </w:tcBorders>
            <w:vAlign w:val="center"/>
          </w:tcPr>
          <w:p w14:paraId="28FEF1BE"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t>Asegurado/ beneficiario</w:t>
            </w:r>
          </w:p>
        </w:tc>
        <w:tc>
          <w:tcPr>
            <w:tcW w:w="7649" w:type="dxa"/>
            <w:gridSpan w:val="5"/>
            <w:tcBorders>
              <w:top w:val="single" w:sz="4" w:space="0" w:color="000000"/>
              <w:left w:val="nil"/>
              <w:bottom w:val="single" w:sz="4" w:space="0" w:color="000000"/>
              <w:right w:val="single" w:sz="4" w:space="0" w:color="000000"/>
            </w:tcBorders>
            <w:shd w:val="clear" w:color="auto" w:fill="BEBEBE"/>
            <w:vAlign w:val="center"/>
          </w:tcPr>
          <w:p w14:paraId="578CCF01"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rPr>
              <w:t xml:space="preserve">FONDO DE DESARROLLO LOCAL DE TUNJUELITO </w:t>
            </w:r>
            <w:proofErr w:type="spellStart"/>
            <w:r w:rsidRPr="00C04C4B">
              <w:rPr>
                <w:rFonts w:ascii="Garamond" w:eastAsia="Garamond" w:hAnsi="Garamond" w:cs="Garamond"/>
              </w:rPr>
              <w:t>NIT</w:t>
            </w:r>
            <w:proofErr w:type="spellEnd"/>
            <w:r w:rsidRPr="00C04C4B">
              <w:rPr>
                <w:rFonts w:ascii="Garamond" w:eastAsia="Garamond" w:hAnsi="Garamond" w:cs="Garamond"/>
              </w:rPr>
              <w:t>. 899.999.061</w:t>
            </w:r>
          </w:p>
        </w:tc>
      </w:tr>
      <w:tr w:rsidR="0022086B" w:rsidRPr="00C04C4B" w14:paraId="0E55FC47" w14:textId="77777777">
        <w:trPr>
          <w:trHeight w:val="624"/>
        </w:trPr>
        <w:tc>
          <w:tcPr>
            <w:tcW w:w="1745" w:type="dxa"/>
            <w:tcBorders>
              <w:top w:val="nil"/>
              <w:left w:val="single" w:sz="4" w:space="0" w:color="000000"/>
              <w:bottom w:val="single" w:sz="4" w:space="0" w:color="000000"/>
              <w:right w:val="single" w:sz="4" w:space="0" w:color="000000"/>
            </w:tcBorders>
            <w:vAlign w:val="center"/>
          </w:tcPr>
          <w:p w14:paraId="7FB668FE"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t> </w:t>
            </w:r>
          </w:p>
        </w:tc>
        <w:tc>
          <w:tcPr>
            <w:tcW w:w="1210" w:type="dxa"/>
            <w:vMerge w:val="restart"/>
            <w:tcBorders>
              <w:top w:val="nil"/>
              <w:left w:val="single" w:sz="4" w:space="0" w:color="000000"/>
              <w:bottom w:val="single" w:sz="4" w:space="0" w:color="000000"/>
              <w:right w:val="single" w:sz="4" w:space="0" w:color="000000"/>
            </w:tcBorders>
            <w:vAlign w:val="center"/>
          </w:tcPr>
          <w:p w14:paraId="13E6C54C"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t> </w:t>
            </w:r>
          </w:p>
        </w:tc>
        <w:tc>
          <w:tcPr>
            <w:tcW w:w="2131" w:type="dxa"/>
            <w:tcBorders>
              <w:top w:val="nil"/>
              <w:left w:val="nil"/>
              <w:bottom w:val="single" w:sz="4" w:space="0" w:color="000000"/>
              <w:right w:val="single" w:sz="4" w:space="0" w:color="000000"/>
            </w:tcBorders>
            <w:shd w:val="clear" w:color="auto" w:fill="404040"/>
            <w:vAlign w:val="center"/>
          </w:tcPr>
          <w:p w14:paraId="172BB32D"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rPr>
              <w:t>Amparo</w:t>
            </w:r>
          </w:p>
        </w:tc>
        <w:tc>
          <w:tcPr>
            <w:tcW w:w="1582" w:type="dxa"/>
            <w:tcBorders>
              <w:top w:val="nil"/>
              <w:left w:val="nil"/>
              <w:bottom w:val="single" w:sz="4" w:space="0" w:color="000000"/>
              <w:right w:val="single" w:sz="4" w:space="0" w:color="000000"/>
            </w:tcBorders>
            <w:shd w:val="clear" w:color="auto" w:fill="404040"/>
            <w:vAlign w:val="center"/>
          </w:tcPr>
          <w:p w14:paraId="02859287"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rPr>
              <w:t>Vigencia</w:t>
            </w:r>
          </w:p>
        </w:tc>
        <w:tc>
          <w:tcPr>
            <w:tcW w:w="1514" w:type="dxa"/>
            <w:tcBorders>
              <w:top w:val="nil"/>
              <w:left w:val="nil"/>
              <w:bottom w:val="single" w:sz="4" w:space="0" w:color="000000"/>
              <w:right w:val="single" w:sz="4" w:space="0" w:color="000000"/>
            </w:tcBorders>
            <w:shd w:val="clear" w:color="auto" w:fill="404040"/>
            <w:vAlign w:val="center"/>
          </w:tcPr>
          <w:p w14:paraId="5952FBF7"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rPr>
              <w:t>Valor Asegurado</w:t>
            </w:r>
          </w:p>
        </w:tc>
        <w:tc>
          <w:tcPr>
            <w:tcW w:w="1212" w:type="dxa"/>
            <w:tcBorders>
              <w:top w:val="nil"/>
              <w:left w:val="nil"/>
              <w:bottom w:val="single" w:sz="4" w:space="0" w:color="000000"/>
              <w:right w:val="single" w:sz="4" w:space="0" w:color="000000"/>
            </w:tcBorders>
            <w:vAlign w:val="center"/>
          </w:tcPr>
          <w:p w14:paraId="5F99120A"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t> </w:t>
            </w:r>
          </w:p>
        </w:tc>
      </w:tr>
      <w:tr w:rsidR="0022086B" w:rsidRPr="00C04C4B" w14:paraId="32F5A2C0" w14:textId="77777777">
        <w:trPr>
          <w:trHeight w:val="6864"/>
        </w:trPr>
        <w:tc>
          <w:tcPr>
            <w:tcW w:w="1745" w:type="dxa"/>
            <w:tcBorders>
              <w:top w:val="nil"/>
              <w:left w:val="single" w:sz="4" w:space="0" w:color="000000"/>
              <w:bottom w:val="single" w:sz="4" w:space="0" w:color="000000"/>
              <w:right w:val="single" w:sz="4" w:space="0" w:color="000000"/>
            </w:tcBorders>
            <w:vAlign w:val="center"/>
          </w:tcPr>
          <w:p w14:paraId="13BBDFD3"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lastRenderedPageBreak/>
              <w:t> </w:t>
            </w:r>
          </w:p>
        </w:tc>
        <w:tc>
          <w:tcPr>
            <w:tcW w:w="1210" w:type="dxa"/>
            <w:vMerge/>
            <w:tcBorders>
              <w:top w:val="nil"/>
              <w:left w:val="single" w:sz="4" w:space="0" w:color="000000"/>
              <w:bottom w:val="single" w:sz="4" w:space="0" w:color="000000"/>
              <w:right w:val="single" w:sz="4" w:space="0" w:color="000000"/>
            </w:tcBorders>
            <w:vAlign w:val="center"/>
          </w:tcPr>
          <w:p w14:paraId="298665B0" w14:textId="77777777" w:rsidR="0022086B" w:rsidRPr="00C04C4B" w:rsidRDefault="0022086B">
            <w:pPr>
              <w:pBdr>
                <w:top w:val="nil"/>
                <w:left w:val="nil"/>
                <w:bottom w:val="nil"/>
                <w:right w:val="nil"/>
                <w:between w:val="nil"/>
              </w:pBdr>
              <w:spacing w:line="276" w:lineRule="auto"/>
              <w:rPr>
                <w:rFonts w:ascii="Garamond" w:eastAsia="Garamond" w:hAnsi="Garamond" w:cs="Garamond"/>
                <w:color w:val="000000"/>
              </w:rPr>
            </w:pPr>
          </w:p>
        </w:tc>
        <w:tc>
          <w:tcPr>
            <w:tcW w:w="2131" w:type="dxa"/>
            <w:vMerge w:val="restart"/>
            <w:tcBorders>
              <w:top w:val="nil"/>
              <w:left w:val="single" w:sz="4" w:space="0" w:color="000000"/>
              <w:bottom w:val="single" w:sz="4" w:space="0" w:color="000000"/>
              <w:right w:val="single" w:sz="4" w:space="0" w:color="000000"/>
            </w:tcBorders>
            <w:vAlign w:val="center"/>
          </w:tcPr>
          <w:p w14:paraId="23F7E815"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b/>
                <w:color w:val="000000"/>
              </w:rPr>
              <w:t>Cumplimiento</w:t>
            </w:r>
            <w:r w:rsidRPr="00C04C4B">
              <w:rPr>
                <w:rFonts w:ascii="Garamond" w:eastAsia="Garamond" w:hAnsi="Garamond" w:cs="Garamond"/>
                <w:color w:val="000000"/>
              </w:rPr>
              <w:t xml:space="preserve"> general del contrato y el pago de las multas y la cláusula penal pecuniaria que se le impongan</w:t>
            </w:r>
          </w:p>
        </w:tc>
        <w:tc>
          <w:tcPr>
            <w:tcW w:w="1582" w:type="dxa"/>
            <w:tcBorders>
              <w:top w:val="nil"/>
              <w:left w:val="nil"/>
              <w:bottom w:val="single" w:sz="4" w:space="0" w:color="000000"/>
              <w:right w:val="single" w:sz="4" w:space="0" w:color="000000"/>
            </w:tcBorders>
            <w:vAlign w:val="center"/>
          </w:tcPr>
          <w:p w14:paraId="788F2A9E"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t>Desde la suscripción del contrato, por el plazo de ejecución del mismo y 6 meses más. Nota: sin embargo, como establece el Decreto 1082 de 2015 la garantía deberá estar vigente hasta la liquidación del</w:t>
            </w:r>
          </w:p>
        </w:tc>
        <w:tc>
          <w:tcPr>
            <w:tcW w:w="1514" w:type="dxa"/>
            <w:vMerge w:val="restart"/>
            <w:tcBorders>
              <w:top w:val="nil"/>
              <w:left w:val="single" w:sz="4" w:space="0" w:color="000000"/>
              <w:bottom w:val="single" w:sz="4" w:space="0" w:color="000000"/>
              <w:right w:val="single" w:sz="4" w:space="0" w:color="000000"/>
            </w:tcBorders>
            <w:shd w:val="clear" w:color="auto" w:fill="BEBEBE"/>
            <w:vAlign w:val="center"/>
          </w:tcPr>
          <w:p w14:paraId="2762EA0F" w14:textId="668945E8"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rPr>
              <w:t>30% del valor del contrato</w:t>
            </w:r>
            <w:r w:rsidR="000B75FC" w:rsidRPr="00C04C4B">
              <w:rPr>
                <w:rFonts w:ascii="Garamond" w:eastAsia="Garamond" w:hAnsi="Garamond" w:cs="Garamond"/>
              </w:rPr>
              <w:t xml:space="preserve"> . La fijación del porcentaje en 30% obedece a que el objeto del contrato consiste en la interventoría de un contrato de obra financiado con recursos de inversión local y, por tanto, la entidad requiere un amparo que resulte suficiente para resarcir los posibles perjuicios derivados de la falta de control, verificación y oportunidad en los conceptos y autorizaciones que debe expedir la interventoría, los cuales son determinantes para la correcta ejecución del contrato de obra asociado.</w:t>
            </w:r>
          </w:p>
        </w:tc>
        <w:tc>
          <w:tcPr>
            <w:tcW w:w="1212" w:type="dxa"/>
            <w:vMerge w:val="restart"/>
            <w:tcBorders>
              <w:top w:val="nil"/>
              <w:left w:val="single" w:sz="4" w:space="0" w:color="000000"/>
              <w:bottom w:val="single" w:sz="4" w:space="0" w:color="000000"/>
              <w:right w:val="single" w:sz="4" w:space="0" w:color="000000"/>
            </w:tcBorders>
            <w:vAlign w:val="center"/>
          </w:tcPr>
          <w:p w14:paraId="18BA0244"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t> </w:t>
            </w:r>
          </w:p>
        </w:tc>
      </w:tr>
      <w:tr w:rsidR="0022086B" w:rsidRPr="00C04C4B" w14:paraId="2BA28D7D" w14:textId="77777777">
        <w:trPr>
          <w:trHeight w:val="312"/>
        </w:trPr>
        <w:tc>
          <w:tcPr>
            <w:tcW w:w="1745" w:type="dxa"/>
            <w:tcBorders>
              <w:top w:val="nil"/>
              <w:left w:val="single" w:sz="4" w:space="0" w:color="000000"/>
              <w:bottom w:val="single" w:sz="4" w:space="0" w:color="000000"/>
              <w:right w:val="single" w:sz="4" w:space="0" w:color="000000"/>
            </w:tcBorders>
            <w:vAlign w:val="center"/>
          </w:tcPr>
          <w:p w14:paraId="1471747F"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t> </w:t>
            </w:r>
          </w:p>
        </w:tc>
        <w:tc>
          <w:tcPr>
            <w:tcW w:w="1210" w:type="dxa"/>
            <w:vMerge/>
            <w:tcBorders>
              <w:top w:val="nil"/>
              <w:left w:val="single" w:sz="4" w:space="0" w:color="000000"/>
              <w:bottom w:val="single" w:sz="4" w:space="0" w:color="000000"/>
              <w:right w:val="single" w:sz="4" w:space="0" w:color="000000"/>
            </w:tcBorders>
            <w:vAlign w:val="center"/>
          </w:tcPr>
          <w:p w14:paraId="5F8EF052" w14:textId="77777777" w:rsidR="0022086B" w:rsidRPr="00C04C4B" w:rsidRDefault="0022086B">
            <w:pPr>
              <w:pBdr>
                <w:top w:val="nil"/>
                <w:left w:val="nil"/>
                <w:bottom w:val="nil"/>
                <w:right w:val="nil"/>
                <w:between w:val="nil"/>
              </w:pBdr>
              <w:spacing w:line="276" w:lineRule="auto"/>
              <w:rPr>
                <w:rFonts w:ascii="Garamond" w:eastAsia="Garamond" w:hAnsi="Garamond" w:cs="Garamond"/>
                <w:color w:val="000000"/>
              </w:rPr>
            </w:pPr>
          </w:p>
        </w:tc>
        <w:tc>
          <w:tcPr>
            <w:tcW w:w="2131" w:type="dxa"/>
            <w:vMerge/>
            <w:tcBorders>
              <w:top w:val="nil"/>
              <w:left w:val="single" w:sz="4" w:space="0" w:color="000000"/>
              <w:bottom w:val="single" w:sz="4" w:space="0" w:color="000000"/>
              <w:right w:val="single" w:sz="4" w:space="0" w:color="000000"/>
            </w:tcBorders>
            <w:vAlign w:val="center"/>
          </w:tcPr>
          <w:p w14:paraId="09A65EDF" w14:textId="77777777" w:rsidR="0022086B" w:rsidRPr="00C04C4B" w:rsidRDefault="0022086B">
            <w:pPr>
              <w:pBdr>
                <w:top w:val="nil"/>
                <w:left w:val="nil"/>
                <w:bottom w:val="nil"/>
                <w:right w:val="nil"/>
                <w:between w:val="nil"/>
              </w:pBdr>
              <w:spacing w:line="276" w:lineRule="auto"/>
              <w:rPr>
                <w:rFonts w:ascii="Garamond" w:eastAsia="Garamond" w:hAnsi="Garamond" w:cs="Garamond"/>
                <w:color w:val="000000"/>
              </w:rPr>
            </w:pPr>
          </w:p>
        </w:tc>
        <w:tc>
          <w:tcPr>
            <w:tcW w:w="1582" w:type="dxa"/>
            <w:tcBorders>
              <w:top w:val="nil"/>
              <w:left w:val="nil"/>
              <w:bottom w:val="single" w:sz="4" w:space="0" w:color="000000"/>
              <w:right w:val="single" w:sz="4" w:space="0" w:color="000000"/>
            </w:tcBorders>
            <w:vAlign w:val="center"/>
          </w:tcPr>
          <w:p w14:paraId="4E9245C3"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t>contrato.</w:t>
            </w:r>
          </w:p>
        </w:tc>
        <w:tc>
          <w:tcPr>
            <w:tcW w:w="1514" w:type="dxa"/>
            <w:vMerge/>
            <w:tcBorders>
              <w:top w:val="nil"/>
              <w:left w:val="single" w:sz="4" w:space="0" w:color="000000"/>
              <w:bottom w:val="single" w:sz="4" w:space="0" w:color="000000"/>
              <w:right w:val="single" w:sz="4" w:space="0" w:color="000000"/>
            </w:tcBorders>
            <w:shd w:val="clear" w:color="auto" w:fill="BEBEBE"/>
            <w:vAlign w:val="center"/>
          </w:tcPr>
          <w:p w14:paraId="5C8B1EE2" w14:textId="77777777" w:rsidR="0022086B" w:rsidRPr="00C04C4B" w:rsidRDefault="0022086B">
            <w:pPr>
              <w:pBdr>
                <w:top w:val="nil"/>
                <w:left w:val="nil"/>
                <w:bottom w:val="nil"/>
                <w:right w:val="nil"/>
                <w:between w:val="nil"/>
              </w:pBdr>
              <w:spacing w:line="276" w:lineRule="auto"/>
              <w:rPr>
                <w:rFonts w:ascii="Garamond" w:eastAsia="Garamond" w:hAnsi="Garamond" w:cs="Garamond"/>
                <w:color w:val="000000"/>
              </w:rPr>
            </w:pPr>
          </w:p>
        </w:tc>
        <w:tc>
          <w:tcPr>
            <w:tcW w:w="1212" w:type="dxa"/>
            <w:vMerge/>
            <w:tcBorders>
              <w:top w:val="nil"/>
              <w:left w:val="single" w:sz="4" w:space="0" w:color="000000"/>
              <w:bottom w:val="single" w:sz="4" w:space="0" w:color="000000"/>
              <w:right w:val="single" w:sz="4" w:space="0" w:color="000000"/>
            </w:tcBorders>
            <w:vAlign w:val="center"/>
          </w:tcPr>
          <w:p w14:paraId="602CA428" w14:textId="77777777" w:rsidR="0022086B" w:rsidRPr="00C04C4B" w:rsidRDefault="0022086B">
            <w:pPr>
              <w:pBdr>
                <w:top w:val="nil"/>
                <w:left w:val="nil"/>
                <w:bottom w:val="nil"/>
                <w:right w:val="nil"/>
                <w:between w:val="nil"/>
              </w:pBdr>
              <w:spacing w:line="276" w:lineRule="auto"/>
              <w:rPr>
                <w:rFonts w:ascii="Garamond" w:eastAsia="Garamond" w:hAnsi="Garamond" w:cs="Garamond"/>
                <w:color w:val="000000"/>
              </w:rPr>
            </w:pPr>
          </w:p>
        </w:tc>
      </w:tr>
      <w:tr w:rsidR="0022086B" w:rsidRPr="00C04C4B" w14:paraId="0D44F237" w14:textId="77777777">
        <w:trPr>
          <w:trHeight w:val="4992"/>
        </w:trPr>
        <w:tc>
          <w:tcPr>
            <w:tcW w:w="1745" w:type="dxa"/>
            <w:tcBorders>
              <w:top w:val="nil"/>
              <w:left w:val="single" w:sz="4" w:space="0" w:color="000000"/>
              <w:bottom w:val="single" w:sz="4" w:space="0" w:color="000000"/>
              <w:right w:val="single" w:sz="4" w:space="0" w:color="000000"/>
            </w:tcBorders>
            <w:vAlign w:val="center"/>
          </w:tcPr>
          <w:p w14:paraId="161AD106"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lastRenderedPageBreak/>
              <w:t>Amparos, vigencia y valores asegurados</w:t>
            </w:r>
          </w:p>
        </w:tc>
        <w:tc>
          <w:tcPr>
            <w:tcW w:w="1210" w:type="dxa"/>
            <w:vMerge/>
            <w:tcBorders>
              <w:top w:val="nil"/>
              <w:left w:val="single" w:sz="4" w:space="0" w:color="000000"/>
              <w:bottom w:val="single" w:sz="4" w:space="0" w:color="000000"/>
              <w:right w:val="single" w:sz="4" w:space="0" w:color="000000"/>
            </w:tcBorders>
            <w:vAlign w:val="center"/>
          </w:tcPr>
          <w:p w14:paraId="1DD19A24" w14:textId="77777777" w:rsidR="0022086B" w:rsidRPr="00C04C4B" w:rsidRDefault="0022086B">
            <w:pPr>
              <w:pBdr>
                <w:top w:val="nil"/>
                <w:left w:val="nil"/>
                <w:bottom w:val="nil"/>
                <w:right w:val="nil"/>
                <w:between w:val="nil"/>
              </w:pBdr>
              <w:spacing w:line="276" w:lineRule="auto"/>
              <w:rPr>
                <w:rFonts w:ascii="Garamond" w:eastAsia="Garamond" w:hAnsi="Garamond" w:cs="Garamond"/>
                <w:color w:val="000000"/>
              </w:rPr>
            </w:pPr>
          </w:p>
        </w:tc>
        <w:tc>
          <w:tcPr>
            <w:tcW w:w="2131" w:type="dxa"/>
            <w:tcBorders>
              <w:top w:val="nil"/>
              <w:left w:val="nil"/>
              <w:bottom w:val="single" w:sz="4" w:space="0" w:color="000000"/>
              <w:right w:val="single" w:sz="4" w:space="0" w:color="000000"/>
            </w:tcBorders>
            <w:vAlign w:val="center"/>
          </w:tcPr>
          <w:p w14:paraId="0D130B15"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b/>
                <w:color w:val="000000"/>
              </w:rPr>
              <w:t>Pago de salarios, prestaciones sociales legales e indemnizaciones laborales</w:t>
            </w:r>
            <w:r w:rsidRPr="00C04C4B">
              <w:rPr>
                <w:rFonts w:ascii="Garamond" w:eastAsia="Garamond" w:hAnsi="Garamond" w:cs="Garamond"/>
                <w:color w:val="000000"/>
              </w:rPr>
              <w:t xml:space="preserve"> del personal que el Contratista haya de utilizar en el territorio nacional</w:t>
            </w:r>
          </w:p>
        </w:tc>
        <w:tc>
          <w:tcPr>
            <w:tcW w:w="1582" w:type="dxa"/>
            <w:vMerge w:val="restart"/>
            <w:tcBorders>
              <w:top w:val="nil"/>
              <w:left w:val="single" w:sz="4" w:space="0" w:color="000000"/>
              <w:bottom w:val="single" w:sz="4" w:space="0" w:color="000000"/>
              <w:right w:val="single" w:sz="4" w:space="0" w:color="000000"/>
            </w:tcBorders>
            <w:vAlign w:val="center"/>
          </w:tcPr>
          <w:p w14:paraId="2E9CDA5B"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t>Desde la suscripción del contrato, por el plazo de ejecución del mismo y tres (3) años más</w:t>
            </w:r>
          </w:p>
        </w:tc>
        <w:tc>
          <w:tcPr>
            <w:tcW w:w="1514" w:type="dxa"/>
            <w:vMerge w:val="restart"/>
            <w:tcBorders>
              <w:top w:val="nil"/>
              <w:left w:val="single" w:sz="4" w:space="0" w:color="000000"/>
              <w:bottom w:val="single" w:sz="4" w:space="0" w:color="000000"/>
              <w:right w:val="single" w:sz="4" w:space="0" w:color="000000"/>
            </w:tcBorders>
            <w:shd w:val="clear" w:color="auto" w:fill="BEBEBE"/>
            <w:vAlign w:val="center"/>
          </w:tcPr>
          <w:p w14:paraId="5271919A"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rPr>
              <w:t>5% del valor del contrato</w:t>
            </w:r>
          </w:p>
        </w:tc>
        <w:tc>
          <w:tcPr>
            <w:tcW w:w="1212" w:type="dxa"/>
            <w:vMerge w:val="restart"/>
            <w:tcBorders>
              <w:top w:val="nil"/>
              <w:left w:val="single" w:sz="4" w:space="0" w:color="000000"/>
              <w:bottom w:val="single" w:sz="4" w:space="0" w:color="000000"/>
              <w:right w:val="single" w:sz="4" w:space="0" w:color="000000"/>
            </w:tcBorders>
            <w:vAlign w:val="center"/>
          </w:tcPr>
          <w:p w14:paraId="69EB91CA"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t> </w:t>
            </w:r>
          </w:p>
        </w:tc>
      </w:tr>
      <w:tr w:rsidR="0022086B" w:rsidRPr="00C04C4B" w14:paraId="14724D4D" w14:textId="77777777">
        <w:trPr>
          <w:trHeight w:val="624"/>
        </w:trPr>
        <w:tc>
          <w:tcPr>
            <w:tcW w:w="1745" w:type="dxa"/>
            <w:tcBorders>
              <w:top w:val="nil"/>
              <w:left w:val="single" w:sz="4" w:space="0" w:color="000000"/>
              <w:bottom w:val="single" w:sz="4" w:space="0" w:color="000000"/>
              <w:right w:val="single" w:sz="4" w:space="0" w:color="000000"/>
            </w:tcBorders>
          </w:tcPr>
          <w:p w14:paraId="290CD6D0" w14:textId="77777777" w:rsidR="0022086B" w:rsidRPr="00C04C4B" w:rsidRDefault="0065443B">
            <w:pPr>
              <w:widowControl/>
              <w:rPr>
                <w:rFonts w:ascii="Garamond" w:eastAsia="Garamond" w:hAnsi="Garamond" w:cs="Garamond"/>
                <w:color w:val="000000"/>
              </w:rPr>
            </w:pPr>
            <w:r w:rsidRPr="00C04C4B">
              <w:rPr>
                <w:rFonts w:ascii="Garamond" w:eastAsia="Garamond" w:hAnsi="Garamond" w:cs="Garamond"/>
                <w:color w:val="000000"/>
              </w:rPr>
              <w:t> </w:t>
            </w:r>
          </w:p>
        </w:tc>
        <w:tc>
          <w:tcPr>
            <w:tcW w:w="1210" w:type="dxa"/>
            <w:vMerge/>
            <w:tcBorders>
              <w:top w:val="nil"/>
              <w:left w:val="single" w:sz="4" w:space="0" w:color="000000"/>
              <w:bottom w:val="single" w:sz="4" w:space="0" w:color="000000"/>
              <w:right w:val="single" w:sz="4" w:space="0" w:color="000000"/>
            </w:tcBorders>
            <w:vAlign w:val="center"/>
          </w:tcPr>
          <w:p w14:paraId="6C99B131" w14:textId="77777777" w:rsidR="0022086B" w:rsidRPr="00C04C4B" w:rsidRDefault="0022086B">
            <w:pPr>
              <w:pBdr>
                <w:top w:val="nil"/>
                <w:left w:val="nil"/>
                <w:bottom w:val="nil"/>
                <w:right w:val="nil"/>
                <w:between w:val="nil"/>
              </w:pBdr>
              <w:spacing w:line="276" w:lineRule="auto"/>
              <w:rPr>
                <w:rFonts w:ascii="Garamond" w:eastAsia="Garamond" w:hAnsi="Garamond" w:cs="Garamond"/>
                <w:color w:val="000000"/>
              </w:rPr>
            </w:pPr>
          </w:p>
        </w:tc>
        <w:tc>
          <w:tcPr>
            <w:tcW w:w="2131" w:type="dxa"/>
            <w:tcBorders>
              <w:top w:val="nil"/>
              <w:left w:val="nil"/>
              <w:bottom w:val="single" w:sz="4" w:space="0" w:color="000000"/>
              <w:right w:val="single" w:sz="4" w:space="0" w:color="000000"/>
            </w:tcBorders>
            <w:vAlign w:val="center"/>
          </w:tcPr>
          <w:p w14:paraId="5F2F9784"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t>ejecución del contrato</w:t>
            </w:r>
          </w:p>
        </w:tc>
        <w:tc>
          <w:tcPr>
            <w:tcW w:w="1582" w:type="dxa"/>
            <w:vMerge/>
            <w:tcBorders>
              <w:top w:val="nil"/>
              <w:left w:val="single" w:sz="4" w:space="0" w:color="000000"/>
              <w:bottom w:val="single" w:sz="4" w:space="0" w:color="000000"/>
              <w:right w:val="single" w:sz="4" w:space="0" w:color="000000"/>
            </w:tcBorders>
            <w:vAlign w:val="center"/>
          </w:tcPr>
          <w:p w14:paraId="3FD48064" w14:textId="77777777" w:rsidR="0022086B" w:rsidRPr="00C04C4B" w:rsidRDefault="0022086B">
            <w:pPr>
              <w:pBdr>
                <w:top w:val="nil"/>
                <w:left w:val="nil"/>
                <w:bottom w:val="nil"/>
                <w:right w:val="nil"/>
                <w:between w:val="nil"/>
              </w:pBdr>
              <w:spacing w:line="276" w:lineRule="auto"/>
              <w:rPr>
                <w:rFonts w:ascii="Garamond" w:eastAsia="Garamond" w:hAnsi="Garamond" w:cs="Garamond"/>
                <w:color w:val="000000"/>
              </w:rPr>
            </w:pPr>
          </w:p>
        </w:tc>
        <w:tc>
          <w:tcPr>
            <w:tcW w:w="1514" w:type="dxa"/>
            <w:vMerge/>
            <w:tcBorders>
              <w:top w:val="nil"/>
              <w:left w:val="single" w:sz="4" w:space="0" w:color="000000"/>
              <w:bottom w:val="single" w:sz="4" w:space="0" w:color="000000"/>
              <w:right w:val="single" w:sz="4" w:space="0" w:color="000000"/>
            </w:tcBorders>
            <w:shd w:val="clear" w:color="auto" w:fill="BEBEBE"/>
            <w:vAlign w:val="center"/>
          </w:tcPr>
          <w:p w14:paraId="564E4336" w14:textId="77777777" w:rsidR="0022086B" w:rsidRPr="00C04C4B" w:rsidRDefault="0022086B">
            <w:pPr>
              <w:pBdr>
                <w:top w:val="nil"/>
                <w:left w:val="nil"/>
                <w:bottom w:val="nil"/>
                <w:right w:val="nil"/>
                <w:between w:val="nil"/>
              </w:pBdr>
              <w:spacing w:line="276" w:lineRule="auto"/>
              <w:rPr>
                <w:rFonts w:ascii="Garamond" w:eastAsia="Garamond" w:hAnsi="Garamond" w:cs="Garamond"/>
                <w:color w:val="000000"/>
              </w:rPr>
            </w:pPr>
          </w:p>
        </w:tc>
        <w:tc>
          <w:tcPr>
            <w:tcW w:w="1212" w:type="dxa"/>
            <w:vMerge/>
            <w:tcBorders>
              <w:top w:val="nil"/>
              <w:left w:val="single" w:sz="4" w:space="0" w:color="000000"/>
              <w:bottom w:val="single" w:sz="4" w:space="0" w:color="000000"/>
              <w:right w:val="single" w:sz="4" w:space="0" w:color="000000"/>
            </w:tcBorders>
            <w:vAlign w:val="center"/>
          </w:tcPr>
          <w:p w14:paraId="13754204" w14:textId="77777777" w:rsidR="0022086B" w:rsidRPr="00C04C4B" w:rsidRDefault="0022086B">
            <w:pPr>
              <w:pBdr>
                <w:top w:val="nil"/>
                <w:left w:val="nil"/>
                <w:bottom w:val="nil"/>
                <w:right w:val="nil"/>
                <w:between w:val="nil"/>
              </w:pBdr>
              <w:spacing w:line="276" w:lineRule="auto"/>
              <w:rPr>
                <w:rFonts w:ascii="Garamond" w:eastAsia="Garamond" w:hAnsi="Garamond" w:cs="Garamond"/>
                <w:color w:val="000000"/>
              </w:rPr>
            </w:pPr>
          </w:p>
        </w:tc>
      </w:tr>
      <w:tr w:rsidR="0022086B" w:rsidRPr="00C04C4B" w14:paraId="27F53080" w14:textId="77777777">
        <w:trPr>
          <w:trHeight w:val="1872"/>
        </w:trPr>
        <w:tc>
          <w:tcPr>
            <w:tcW w:w="1745" w:type="dxa"/>
            <w:tcBorders>
              <w:top w:val="nil"/>
              <w:left w:val="single" w:sz="4" w:space="0" w:color="000000"/>
              <w:bottom w:val="single" w:sz="4" w:space="0" w:color="000000"/>
              <w:right w:val="single" w:sz="4" w:space="0" w:color="000000"/>
            </w:tcBorders>
          </w:tcPr>
          <w:p w14:paraId="000C3F25" w14:textId="77777777" w:rsidR="0022086B" w:rsidRPr="00C04C4B" w:rsidRDefault="0065443B">
            <w:pPr>
              <w:widowControl/>
              <w:rPr>
                <w:rFonts w:ascii="Garamond" w:eastAsia="Garamond" w:hAnsi="Garamond" w:cs="Garamond"/>
                <w:color w:val="000000"/>
              </w:rPr>
            </w:pPr>
            <w:r w:rsidRPr="00C04C4B">
              <w:rPr>
                <w:rFonts w:ascii="Garamond" w:eastAsia="Garamond" w:hAnsi="Garamond" w:cs="Garamond"/>
                <w:color w:val="000000"/>
              </w:rPr>
              <w:t> </w:t>
            </w:r>
          </w:p>
        </w:tc>
        <w:tc>
          <w:tcPr>
            <w:tcW w:w="1210" w:type="dxa"/>
            <w:vMerge/>
            <w:tcBorders>
              <w:top w:val="nil"/>
              <w:left w:val="single" w:sz="4" w:space="0" w:color="000000"/>
              <w:bottom w:val="single" w:sz="4" w:space="0" w:color="000000"/>
              <w:right w:val="single" w:sz="4" w:space="0" w:color="000000"/>
            </w:tcBorders>
            <w:vAlign w:val="center"/>
          </w:tcPr>
          <w:p w14:paraId="70DF1C72" w14:textId="77777777" w:rsidR="0022086B" w:rsidRPr="00C04C4B" w:rsidRDefault="0022086B">
            <w:pPr>
              <w:pBdr>
                <w:top w:val="nil"/>
                <w:left w:val="nil"/>
                <w:bottom w:val="nil"/>
                <w:right w:val="nil"/>
                <w:between w:val="nil"/>
              </w:pBdr>
              <w:spacing w:line="276" w:lineRule="auto"/>
              <w:rPr>
                <w:rFonts w:ascii="Garamond" w:eastAsia="Garamond" w:hAnsi="Garamond" w:cs="Garamond"/>
                <w:color w:val="000000"/>
              </w:rPr>
            </w:pPr>
          </w:p>
        </w:tc>
        <w:tc>
          <w:tcPr>
            <w:tcW w:w="2131" w:type="dxa"/>
            <w:tcBorders>
              <w:top w:val="nil"/>
              <w:left w:val="nil"/>
              <w:bottom w:val="single" w:sz="4" w:space="0" w:color="000000"/>
              <w:right w:val="single" w:sz="4" w:space="0" w:color="000000"/>
            </w:tcBorders>
            <w:vAlign w:val="center"/>
          </w:tcPr>
          <w:p w14:paraId="3A532F7C" w14:textId="77777777" w:rsidR="0022086B" w:rsidRPr="00C04C4B" w:rsidRDefault="0065443B">
            <w:pPr>
              <w:widowControl/>
              <w:jc w:val="both"/>
              <w:rPr>
                <w:rFonts w:ascii="Garamond" w:eastAsia="Garamond" w:hAnsi="Garamond" w:cs="Garamond"/>
                <w:b/>
                <w:color w:val="000000"/>
              </w:rPr>
            </w:pPr>
            <w:r w:rsidRPr="00C04C4B">
              <w:rPr>
                <w:rFonts w:ascii="Garamond" w:eastAsia="Garamond" w:hAnsi="Garamond" w:cs="Garamond"/>
                <w:b/>
                <w:color w:val="000000"/>
              </w:rPr>
              <w:t>Calidad del Servicio</w:t>
            </w:r>
          </w:p>
        </w:tc>
        <w:tc>
          <w:tcPr>
            <w:tcW w:w="1582" w:type="dxa"/>
            <w:tcBorders>
              <w:top w:val="nil"/>
              <w:left w:val="nil"/>
              <w:bottom w:val="single" w:sz="4" w:space="0" w:color="000000"/>
              <w:right w:val="single" w:sz="4" w:space="0" w:color="000000"/>
            </w:tcBorders>
            <w:vAlign w:val="center"/>
          </w:tcPr>
          <w:p w14:paraId="24518915"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t>Cinco (5) años equivalente a la estabilidad de la obra</w:t>
            </w:r>
          </w:p>
        </w:tc>
        <w:tc>
          <w:tcPr>
            <w:tcW w:w="1514" w:type="dxa"/>
            <w:vMerge w:val="restart"/>
            <w:tcBorders>
              <w:top w:val="nil"/>
              <w:left w:val="single" w:sz="4" w:space="0" w:color="000000"/>
              <w:bottom w:val="single" w:sz="4" w:space="0" w:color="000000"/>
              <w:right w:val="single" w:sz="4" w:space="0" w:color="000000"/>
            </w:tcBorders>
            <w:shd w:val="clear" w:color="auto" w:fill="BEBEBE"/>
            <w:vAlign w:val="center"/>
          </w:tcPr>
          <w:p w14:paraId="6704A6B8"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rPr>
              <w:t>30% del valor del contrato</w:t>
            </w:r>
          </w:p>
        </w:tc>
        <w:tc>
          <w:tcPr>
            <w:tcW w:w="1212" w:type="dxa"/>
            <w:vMerge w:val="restart"/>
            <w:tcBorders>
              <w:top w:val="nil"/>
              <w:left w:val="single" w:sz="4" w:space="0" w:color="000000"/>
              <w:bottom w:val="single" w:sz="4" w:space="0" w:color="000000"/>
              <w:right w:val="single" w:sz="4" w:space="0" w:color="000000"/>
            </w:tcBorders>
            <w:vAlign w:val="center"/>
          </w:tcPr>
          <w:p w14:paraId="387CD49C"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t> </w:t>
            </w:r>
          </w:p>
        </w:tc>
      </w:tr>
      <w:tr w:rsidR="0022086B" w:rsidRPr="00C04C4B" w14:paraId="37684A67" w14:textId="77777777">
        <w:trPr>
          <w:trHeight w:val="2496"/>
        </w:trPr>
        <w:tc>
          <w:tcPr>
            <w:tcW w:w="1745" w:type="dxa"/>
            <w:tcBorders>
              <w:top w:val="nil"/>
              <w:left w:val="single" w:sz="4" w:space="0" w:color="000000"/>
              <w:bottom w:val="single" w:sz="4" w:space="0" w:color="000000"/>
              <w:right w:val="single" w:sz="4" w:space="0" w:color="000000"/>
            </w:tcBorders>
          </w:tcPr>
          <w:p w14:paraId="04527173" w14:textId="77777777" w:rsidR="0022086B" w:rsidRPr="00C04C4B" w:rsidRDefault="0065443B">
            <w:pPr>
              <w:widowControl/>
              <w:rPr>
                <w:rFonts w:ascii="Garamond" w:eastAsia="Garamond" w:hAnsi="Garamond" w:cs="Garamond"/>
                <w:color w:val="000000"/>
              </w:rPr>
            </w:pPr>
            <w:r w:rsidRPr="00C04C4B">
              <w:rPr>
                <w:rFonts w:ascii="Garamond" w:eastAsia="Garamond" w:hAnsi="Garamond" w:cs="Garamond"/>
                <w:color w:val="000000"/>
              </w:rPr>
              <w:lastRenderedPageBreak/>
              <w:t> </w:t>
            </w:r>
          </w:p>
        </w:tc>
        <w:tc>
          <w:tcPr>
            <w:tcW w:w="1210" w:type="dxa"/>
            <w:vMerge/>
            <w:tcBorders>
              <w:top w:val="nil"/>
              <w:left w:val="single" w:sz="4" w:space="0" w:color="000000"/>
              <w:bottom w:val="single" w:sz="4" w:space="0" w:color="000000"/>
              <w:right w:val="single" w:sz="4" w:space="0" w:color="000000"/>
            </w:tcBorders>
            <w:vAlign w:val="center"/>
          </w:tcPr>
          <w:p w14:paraId="69D6FF2C" w14:textId="77777777" w:rsidR="0022086B" w:rsidRPr="00C04C4B" w:rsidRDefault="0022086B">
            <w:pPr>
              <w:pBdr>
                <w:top w:val="nil"/>
                <w:left w:val="nil"/>
                <w:bottom w:val="nil"/>
                <w:right w:val="nil"/>
                <w:between w:val="nil"/>
              </w:pBdr>
              <w:spacing w:line="276" w:lineRule="auto"/>
              <w:rPr>
                <w:rFonts w:ascii="Garamond" w:eastAsia="Garamond" w:hAnsi="Garamond" w:cs="Garamond"/>
                <w:color w:val="000000"/>
              </w:rPr>
            </w:pPr>
          </w:p>
        </w:tc>
        <w:tc>
          <w:tcPr>
            <w:tcW w:w="2131" w:type="dxa"/>
            <w:tcBorders>
              <w:top w:val="nil"/>
              <w:left w:val="nil"/>
              <w:bottom w:val="single" w:sz="4" w:space="0" w:color="000000"/>
              <w:right w:val="single" w:sz="4" w:space="0" w:color="000000"/>
            </w:tcBorders>
            <w:vAlign w:val="center"/>
          </w:tcPr>
          <w:p w14:paraId="7808363D"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t>por los perjuicios derivados de la deficiente calidad del servicio prestado.</w:t>
            </w:r>
          </w:p>
        </w:tc>
        <w:tc>
          <w:tcPr>
            <w:tcW w:w="1582" w:type="dxa"/>
            <w:tcBorders>
              <w:top w:val="nil"/>
              <w:left w:val="nil"/>
              <w:bottom w:val="single" w:sz="4" w:space="0" w:color="000000"/>
              <w:right w:val="single" w:sz="4" w:space="0" w:color="000000"/>
            </w:tcBorders>
            <w:vAlign w:val="center"/>
          </w:tcPr>
          <w:p w14:paraId="6E15BAA4"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t>del contrato intervenido.</w:t>
            </w:r>
          </w:p>
        </w:tc>
        <w:tc>
          <w:tcPr>
            <w:tcW w:w="1514" w:type="dxa"/>
            <w:vMerge/>
            <w:tcBorders>
              <w:top w:val="nil"/>
              <w:left w:val="single" w:sz="4" w:space="0" w:color="000000"/>
              <w:bottom w:val="single" w:sz="4" w:space="0" w:color="000000"/>
              <w:right w:val="single" w:sz="4" w:space="0" w:color="000000"/>
            </w:tcBorders>
            <w:shd w:val="clear" w:color="auto" w:fill="BEBEBE"/>
            <w:vAlign w:val="center"/>
          </w:tcPr>
          <w:p w14:paraId="52A628C7" w14:textId="77777777" w:rsidR="0022086B" w:rsidRPr="00C04C4B" w:rsidRDefault="0022086B">
            <w:pPr>
              <w:pBdr>
                <w:top w:val="nil"/>
                <w:left w:val="nil"/>
                <w:bottom w:val="nil"/>
                <w:right w:val="nil"/>
                <w:between w:val="nil"/>
              </w:pBdr>
              <w:spacing w:line="276" w:lineRule="auto"/>
              <w:rPr>
                <w:rFonts w:ascii="Garamond" w:eastAsia="Garamond" w:hAnsi="Garamond" w:cs="Garamond"/>
                <w:color w:val="000000"/>
              </w:rPr>
            </w:pPr>
          </w:p>
        </w:tc>
        <w:tc>
          <w:tcPr>
            <w:tcW w:w="1212" w:type="dxa"/>
            <w:vMerge/>
            <w:tcBorders>
              <w:top w:val="nil"/>
              <w:left w:val="single" w:sz="4" w:space="0" w:color="000000"/>
              <w:bottom w:val="single" w:sz="4" w:space="0" w:color="000000"/>
              <w:right w:val="single" w:sz="4" w:space="0" w:color="000000"/>
            </w:tcBorders>
            <w:vAlign w:val="center"/>
          </w:tcPr>
          <w:p w14:paraId="4B77363B" w14:textId="77777777" w:rsidR="0022086B" w:rsidRPr="00C04C4B" w:rsidRDefault="0022086B">
            <w:pPr>
              <w:pBdr>
                <w:top w:val="nil"/>
                <w:left w:val="nil"/>
                <w:bottom w:val="nil"/>
                <w:right w:val="nil"/>
                <w:between w:val="nil"/>
              </w:pBdr>
              <w:spacing w:line="276" w:lineRule="auto"/>
              <w:rPr>
                <w:rFonts w:ascii="Garamond" w:eastAsia="Garamond" w:hAnsi="Garamond" w:cs="Garamond"/>
                <w:color w:val="000000"/>
              </w:rPr>
            </w:pPr>
          </w:p>
        </w:tc>
      </w:tr>
      <w:tr w:rsidR="0022086B" w:rsidRPr="00C04C4B" w14:paraId="31771ACA" w14:textId="77777777">
        <w:trPr>
          <w:trHeight w:val="1572"/>
        </w:trPr>
        <w:tc>
          <w:tcPr>
            <w:tcW w:w="1745" w:type="dxa"/>
            <w:tcBorders>
              <w:top w:val="nil"/>
              <w:left w:val="single" w:sz="4" w:space="0" w:color="000000"/>
              <w:bottom w:val="single" w:sz="4" w:space="0" w:color="000000"/>
              <w:right w:val="single" w:sz="4" w:space="0" w:color="000000"/>
            </w:tcBorders>
            <w:vAlign w:val="center"/>
          </w:tcPr>
          <w:p w14:paraId="36FB2A82"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t> </w:t>
            </w:r>
          </w:p>
        </w:tc>
        <w:tc>
          <w:tcPr>
            <w:tcW w:w="7649" w:type="dxa"/>
            <w:gridSpan w:val="5"/>
            <w:tcBorders>
              <w:top w:val="single" w:sz="4" w:space="0" w:color="000000"/>
              <w:left w:val="nil"/>
              <w:bottom w:val="single" w:sz="4" w:space="0" w:color="000000"/>
              <w:right w:val="single" w:sz="4" w:space="0" w:color="000000"/>
            </w:tcBorders>
            <w:vAlign w:val="center"/>
          </w:tcPr>
          <w:p w14:paraId="5C9A95F1"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tc>
      </w:tr>
      <w:tr w:rsidR="0022086B" w:rsidRPr="00C04C4B" w14:paraId="0C84DC0C" w14:textId="77777777">
        <w:trPr>
          <w:trHeight w:val="1320"/>
        </w:trPr>
        <w:tc>
          <w:tcPr>
            <w:tcW w:w="1745" w:type="dxa"/>
            <w:tcBorders>
              <w:top w:val="nil"/>
              <w:left w:val="single" w:sz="4" w:space="0" w:color="000000"/>
              <w:bottom w:val="single" w:sz="4" w:space="0" w:color="000000"/>
              <w:right w:val="single" w:sz="4" w:space="0" w:color="000000"/>
            </w:tcBorders>
            <w:vAlign w:val="center"/>
          </w:tcPr>
          <w:p w14:paraId="414B81DD"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t> </w:t>
            </w:r>
          </w:p>
        </w:tc>
        <w:tc>
          <w:tcPr>
            <w:tcW w:w="7649" w:type="dxa"/>
            <w:gridSpan w:val="5"/>
            <w:tcBorders>
              <w:top w:val="single" w:sz="4" w:space="0" w:color="000000"/>
              <w:left w:val="nil"/>
              <w:bottom w:val="single" w:sz="4" w:space="0" w:color="000000"/>
              <w:right w:val="single" w:sz="4" w:space="0" w:color="000000"/>
            </w:tcBorders>
            <w:vAlign w:val="center"/>
          </w:tcPr>
          <w:p w14:paraId="08C1C3E5"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t xml:space="preserve">No se aceptan garantías a nombre del representante legal o de alguno de los integrantes del consorcio. Cuando el contratista sea una Unión Temporal o Consorcio, se debe incluir razón social, </w:t>
            </w:r>
            <w:proofErr w:type="spellStart"/>
            <w:r w:rsidRPr="00C04C4B">
              <w:rPr>
                <w:rFonts w:ascii="Garamond" w:eastAsia="Garamond" w:hAnsi="Garamond" w:cs="Garamond"/>
                <w:color w:val="000000"/>
              </w:rPr>
              <w:t>NIT</w:t>
            </w:r>
            <w:proofErr w:type="spellEnd"/>
            <w:r w:rsidRPr="00C04C4B">
              <w:rPr>
                <w:rFonts w:ascii="Garamond" w:eastAsia="Garamond" w:hAnsi="Garamond" w:cs="Garamond"/>
                <w:color w:val="000000"/>
              </w:rPr>
              <w:t xml:space="preserve"> y porcentaje de participación de cada uno de los integrantes.</w:t>
            </w:r>
          </w:p>
        </w:tc>
      </w:tr>
      <w:tr w:rsidR="0022086B" w:rsidRPr="00C04C4B" w14:paraId="02D1AEF5" w14:textId="77777777">
        <w:trPr>
          <w:trHeight w:val="312"/>
        </w:trPr>
        <w:tc>
          <w:tcPr>
            <w:tcW w:w="1745" w:type="dxa"/>
            <w:tcBorders>
              <w:top w:val="nil"/>
              <w:left w:val="single" w:sz="4" w:space="0" w:color="000000"/>
              <w:bottom w:val="single" w:sz="4" w:space="0" w:color="000000"/>
              <w:right w:val="single" w:sz="4" w:space="0" w:color="000000"/>
            </w:tcBorders>
            <w:vAlign w:val="center"/>
          </w:tcPr>
          <w:p w14:paraId="5FFA6025"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t>Tomador</w:t>
            </w:r>
          </w:p>
        </w:tc>
        <w:tc>
          <w:tcPr>
            <w:tcW w:w="7649" w:type="dxa"/>
            <w:gridSpan w:val="5"/>
            <w:tcBorders>
              <w:top w:val="single" w:sz="4" w:space="0" w:color="000000"/>
              <w:left w:val="nil"/>
              <w:bottom w:val="single" w:sz="4" w:space="0" w:color="000000"/>
              <w:right w:val="single" w:sz="4" w:space="0" w:color="000000"/>
            </w:tcBorders>
          </w:tcPr>
          <w:p w14:paraId="23475697" w14:textId="77777777" w:rsidR="0022086B" w:rsidRPr="00C04C4B" w:rsidRDefault="0065443B">
            <w:pPr>
              <w:widowControl/>
              <w:rPr>
                <w:rFonts w:ascii="Garamond" w:eastAsia="Garamond" w:hAnsi="Garamond" w:cs="Garamond"/>
                <w:b/>
                <w:color w:val="000000"/>
              </w:rPr>
            </w:pPr>
            <w:r w:rsidRPr="00C04C4B">
              <w:rPr>
                <w:rFonts w:ascii="Garamond" w:eastAsia="Garamond" w:hAnsi="Garamond" w:cs="Garamond"/>
                <w:color w:val="000000"/>
              </w:rPr>
              <w:t> </w:t>
            </w:r>
            <w:r w:rsidRPr="00C04C4B">
              <w:rPr>
                <w:rFonts w:ascii="Garamond" w:eastAsia="Garamond" w:hAnsi="Garamond" w:cs="Garamond"/>
                <w:b/>
                <w:color w:val="000000"/>
              </w:rPr>
              <w:t>Nombre del proponente adjudicatario</w:t>
            </w:r>
          </w:p>
        </w:tc>
      </w:tr>
      <w:tr w:rsidR="0022086B" w:rsidRPr="00C04C4B" w14:paraId="228643B9" w14:textId="77777777">
        <w:trPr>
          <w:trHeight w:val="1164"/>
        </w:trPr>
        <w:tc>
          <w:tcPr>
            <w:tcW w:w="1745" w:type="dxa"/>
            <w:vMerge w:val="restart"/>
            <w:tcBorders>
              <w:top w:val="nil"/>
              <w:left w:val="single" w:sz="4" w:space="0" w:color="000000"/>
              <w:bottom w:val="single" w:sz="4" w:space="0" w:color="000000"/>
              <w:right w:val="single" w:sz="4" w:space="0" w:color="000000"/>
            </w:tcBorders>
            <w:vAlign w:val="center"/>
          </w:tcPr>
          <w:p w14:paraId="4131A726"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t> </w:t>
            </w:r>
          </w:p>
        </w:tc>
        <w:tc>
          <w:tcPr>
            <w:tcW w:w="7649" w:type="dxa"/>
            <w:gridSpan w:val="5"/>
            <w:tcBorders>
              <w:top w:val="single" w:sz="4" w:space="0" w:color="000000"/>
              <w:left w:val="nil"/>
              <w:bottom w:val="single" w:sz="4" w:space="0" w:color="000000"/>
              <w:right w:val="single" w:sz="4" w:space="0" w:color="000000"/>
            </w:tcBorders>
            <w:vAlign w:val="center"/>
          </w:tcPr>
          <w:p w14:paraId="28E634D9" w14:textId="77777777" w:rsidR="0022086B" w:rsidRPr="00C04C4B" w:rsidRDefault="0065443B">
            <w:pPr>
              <w:widowControl/>
              <w:jc w:val="center"/>
              <w:rPr>
                <w:rFonts w:ascii="Garamond" w:eastAsia="Garamond" w:hAnsi="Garamond" w:cs="Garamond"/>
                <w:color w:val="000000"/>
              </w:rPr>
            </w:pPr>
            <w:r w:rsidRPr="00C04C4B">
              <w:rPr>
                <w:rFonts w:ascii="Garamond" w:eastAsia="Garamond" w:hAnsi="Garamond" w:cs="Garamond"/>
                <w:color w:val="000000"/>
              </w:rPr>
              <w:t>Para el Contratista conformado por una estructura plural (unión temporal, consorcio): la garantía deberá ser otorgada por todos los integrantes del Contratista, para lo cual se deberá relacionar claramente los integrantes, su identificación y porcentaje de participación, quienes</w:t>
            </w:r>
          </w:p>
        </w:tc>
      </w:tr>
      <w:tr w:rsidR="0022086B" w:rsidRPr="00C04C4B" w14:paraId="18D34BCD" w14:textId="77777777">
        <w:trPr>
          <w:trHeight w:val="312"/>
        </w:trPr>
        <w:tc>
          <w:tcPr>
            <w:tcW w:w="1745" w:type="dxa"/>
            <w:vMerge/>
            <w:tcBorders>
              <w:top w:val="nil"/>
              <w:left w:val="single" w:sz="4" w:space="0" w:color="000000"/>
              <w:bottom w:val="single" w:sz="4" w:space="0" w:color="000000"/>
              <w:right w:val="single" w:sz="4" w:space="0" w:color="000000"/>
            </w:tcBorders>
            <w:vAlign w:val="center"/>
          </w:tcPr>
          <w:p w14:paraId="13E0D059" w14:textId="77777777" w:rsidR="0022086B" w:rsidRPr="00C04C4B" w:rsidRDefault="0022086B">
            <w:pPr>
              <w:pBdr>
                <w:top w:val="nil"/>
                <w:left w:val="nil"/>
                <w:bottom w:val="nil"/>
                <w:right w:val="nil"/>
                <w:between w:val="nil"/>
              </w:pBdr>
              <w:spacing w:line="276" w:lineRule="auto"/>
              <w:rPr>
                <w:rFonts w:ascii="Garamond" w:eastAsia="Garamond" w:hAnsi="Garamond" w:cs="Garamond"/>
                <w:color w:val="000000"/>
              </w:rPr>
            </w:pPr>
          </w:p>
        </w:tc>
        <w:tc>
          <w:tcPr>
            <w:tcW w:w="7649" w:type="dxa"/>
            <w:gridSpan w:val="5"/>
            <w:tcBorders>
              <w:top w:val="single" w:sz="4" w:space="0" w:color="000000"/>
              <w:left w:val="nil"/>
              <w:bottom w:val="single" w:sz="4" w:space="0" w:color="000000"/>
              <w:right w:val="single" w:sz="4" w:space="0" w:color="000000"/>
            </w:tcBorders>
            <w:vAlign w:val="center"/>
          </w:tcPr>
          <w:p w14:paraId="32A5AC64" w14:textId="77777777" w:rsidR="0022086B" w:rsidRPr="00C04C4B" w:rsidRDefault="0065443B">
            <w:pPr>
              <w:widowControl/>
              <w:jc w:val="center"/>
              <w:rPr>
                <w:rFonts w:ascii="Garamond" w:eastAsia="Garamond" w:hAnsi="Garamond" w:cs="Garamond"/>
                <w:color w:val="000000"/>
              </w:rPr>
            </w:pPr>
            <w:r w:rsidRPr="00C04C4B">
              <w:rPr>
                <w:rFonts w:ascii="Garamond" w:eastAsia="Garamond" w:hAnsi="Garamond" w:cs="Garamond"/>
                <w:color w:val="000000"/>
              </w:rPr>
              <w:t>para todos los efectos serán los otorgantes de la misma.</w:t>
            </w:r>
          </w:p>
        </w:tc>
      </w:tr>
      <w:tr w:rsidR="0022086B" w:rsidRPr="00C04C4B" w14:paraId="0F99CD35" w14:textId="77777777">
        <w:trPr>
          <w:trHeight w:val="936"/>
        </w:trPr>
        <w:tc>
          <w:tcPr>
            <w:tcW w:w="1745" w:type="dxa"/>
            <w:tcBorders>
              <w:top w:val="nil"/>
              <w:left w:val="single" w:sz="4" w:space="0" w:color="000000"/>
              <w:bottom w:val="single" w:sz="4" w:space="0" w:color="000000"/>
              <w:right w:val="single" w:sz="4" w:space="0" w:color="000000"/>
            </w:tcBorders>
            <w:vAlign w:val="center"/>
          </w:tcPr>
          <w:p w14:paraId="7D0FB848"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t> </w:t>
            </w:r>
          </w:p>
        </w:tc>
        <w:tc>
          <w:tcPr>
            <w:tcW w:w="7649" w:type="dxa"/>
            <w:gridSpan w:val="5"/>
            <w:tcBorders>
              <w:top w:val="single" w:sz="4" w:space="0" w:color="000000"/>
              <w:left w:val="nil"/>
              <w:bottom w:val="single" w:sz="4" w:space="0" w:color="000000"/>
              <w:right w:val="single" w:sz="4" w:space="0" w:color="000000"/>
            </w:tcBorders>
            <w:vAlign w:val="center"/>
          </w:tcPr>
          <w:p w14:paraId="5F1DA6ED" w14:textId="77777777" w:rsidR="0022086B" w:rsidRPr="00C04C4B" w:rsidRDefault="0065443B">
            <w:pPr>
              <w:widowControl/>
              <w:jc w:val="center"/>
              <w:rPr>
                <w:rFonts w:ascii="Garamond" w:eastAsia="Garamond" w:hAnsi="Garamond" w:cs="Garamond"/>
                <w:color w:val="000000"/>
              </w:rPr>
            </w:pPr>
            <w:r w:rsidRPr="00C04C4B">
              <w:rPr>
                <w:rFonts w:ascii="Garamond" w:eastAsia="Garamond" w:hAnsi="Garamond" w:cs="Garamond"/>
                <w:color w:val="000000"/>
              </w:rPr>
              <w:t>Número y año del contrato</w:t>
            </w:r>
          </w:p>
        </w:tc>
      </w:tr>
      <w:tr w:rsidR="0022086B" w:rsidRPr="00C04C4B" w14:paraId="61AC3150" w14:textId="77777777">
        <w:trPr>
          <w:trHeight w:val="1248"/>
        </w:trPr>
        <w:tc>
          <w:tcPr>
            <w:tcW w:w="1745" w:type="dxa"/>
            <w:tcBorders>
              <w:top w:val="nil"/>
              <w:left w:val="single" w:sz="4" w:space="0" w:color="000000"/>
              <w:bottom w:val="single" w:sz="4" w:space="0" w:color="000000"/>
              <w:right w:val="single" w:sz="4" w:space="0" w:color="000000"/>
            </w:tcBorders>
            <w:vAlign w:val="center"/>
          </w:tcPr>
          <w:p w14:paraId="1A622E71" w14:textId="77777777" w:rsidR="0022086B" w:rsidRPr="00C04C4B" w:rsidRDefault="0065443B">
            <w:pPr>
              <w:widowControl/>
              <w:jc w:val="both"/>
              <w:rPr>
                <w:rFonts w:ascii="Garamond" w:eastAsia="Garamond" w:hAnsi="Garamond" w:cs="Garamond"/>
                <w:color w:val="000000"/>
              </w:rPr>
            </w:pPr>
            <w:r w:rsidRPr="00C04C4B">
              <w:rPr>
                <w:rFonts w:ascii="Garamond" w:eastAsia="Garamond" w:hAnsi="Garamond" w:cs="Garamond"/>
                <w:color w:val="000000"/>
              </w:rPr>
              <w:t>Información necesaria dentro de la póliza</w:t>
            </w:r>
          </w:p>
        </w:tc>
        <w:tc>
          <w:tcPr>
            <w:tcW w:w="7649" w:type="dxa"/>
            <w:gridSpan w:val="5"/>
            <w:tcBorders>
              <w:top w:val="single" w:sz="4" w:space="0" w:color="000000"/>
              <w:left w:val="nil"/>
              <w:bottom w:val="single" w:sz="4" w:space="0" w:color="000000"/>
              <w:right w:val="single" w:sz="4" w:space="0" w:color="000000"/>
            </w:tcBorders>
            <w:vAlign w:val="center"/>
          </w:tcPr>
          <w:p w14:paraId="439C63C4" w14:textId="77777777" w:rsidR="0022086B" w:rsidRPr="00C04C4B" w:rsidRDefault="0065443B">
            <w:pPr>
              <w:widowControl/>
              <w:jc w:val="center"/>
              <w:rPr>
                <w:rFonts w:ascii="Garamond" w:eastAsia="Garamond" w:hAnsi="Garamond" w:cs="Garamond"/>
                <w:color w:val="000000"/>
              </w:rPr>
            </w:pPr>
            <w:r w:rsidRPr="00C04C4B">
              <w:rPr>
                <w:rFonts w:ascii="Garamond" w:eastAsia="Garamond" w:hAnsi="Garamond" w:cs="Garamond"/>
                <w:color w:val="000000"/>
              </w:rPr>
              <w:t>Objeto del contrato</w:t>
            </w:r>
          </w:p>
        </w:tc>
      </w:tr>
      <w:tr w:rsidR="0022086B" w:rsidRPr="00C04C4B" w14:paraId="19351744" w14:textId="77777777">
        <w:trPr>
          <w:trHeight w:val="312"/>
        </w:trPr>
        <w:tc>
          <w:tcPr>
            <w:tcW w:w="1745" w:type="dxa"/>
            <w:tcBorders>
              <w:top w:val="nil"/>
              <w:left w:val="single" w:sz="4" w:space="0" w:color="000000"/>
              <w:bottom w:val="single" w:sz="4" w:space="0" w:color="000000"/>
              <w:right w:val="single" w:sz="4" w:space="0" w:color="000000"/>
            </w:tcBorders>
          </w:tcPr>
          <w:p w14:paraId="25ECC579" w14:textId="77777777" w:rsidR="0022086B" w:rsidRPr="00C04C4B" w:rsidRDefault="0065443B">
            <w:pPr>
              <w:widowControl/>
              <w:rPr>
                <w:rFonts w:ascii="Garamond" w:eastAsia="Garamond" w:hAnsi="Garamond" w:cs="Garamond"/>
                <w:color w:val="000000"/>
              </w:rPr>
            </w:pPr>
            <w:r w:rsidRPr="00C04C4B">
              <w:rPr>
                <w:rFonts w:ascii="Garamond" w:eastAsia="Garamond" w:hAnsi="Garamond" w:cs="Garamond"/>
                <w:color w:val="000000"/>
              </w:rPr>
              <w:lastRenderedPageBreak/>
              <w:t> </w:t>
            </w:r>
          </w:p>
        </w:tc>
        <w:tc>
          <w:tcPr>
            <w:tcW w:w="7649" w:type="dxa"/>
            <w:gridSpan w:val="5"/>
            <w:tcBorders>
              <w:top w:val="single" w:sz="4" w:space="0" w:color="000000"/>
              <w:left w:val="nil"/>
              <w:bottom w:val="single" w:sz="4" w:space="0" w:color="000000"/>
              <w:right w:val="single" w:sz="4" w:space="0" w:color="000000"/>
            </w:tcBorders>
            <w:vAlign w:val="center"/>
          </w:tcPr>
          <w:p w14:paraId="07606CA8" w14:textId="77777777" w:rsidR="0022086B" w:rsidRPr="00C04C4B" w:rsidRDefault="0065443B">
            <w:pPr>
              <w:widowControl/>
              <w:jc w:val="center"/>
              <w:rPr>
                <w:rFonts w:ascii="Garamond" w:eastAsia="Garamond" w:hAnsi="Garamond" w:cs="Garamond"/>
                <w:color w:val="000000"/>
              </w:rPr>
            </w:pPr>
            <w:r w:rsidRPr="00C04C4B">
              <w:rPr>
                <w:rFonts w:ascii="Garamond" w:eastAsia="Garamond" w:hAnsi="Garamond" w:cs="Garamond"/>
                <w:color w:val="000000"/>
              </w:rPr>
              <w:t>Firma del representante legal del Contratista</w:t>
            </w:r>
          </w:p>
        </w:tc>
      </w:tr>
      <w:tr w:rsidR="0022086B" w:rsidRPr="00C04C4B" w14:paraId="02C46BF3" w14:textId="77777777">
        <w:trPr>
          <w:trHeight w:val="312"/>
        </w:trPr>
        <w:tc>
          <w:tcPr>
            <w:tcW w:w="1745" w:type="dxa"/>
            <w:tcBorders>
              <w:top w:val="nil"/>
              <w:left w:val="single" w:sz="4" w:space="0" w:color="000000"/>
              <w:bottom w:val="single" w:sz="4" w:space="0" w:color="000000"/>
              <w:right w:val="single" w:sz="4" w:space="0" w:color="000000"/>
            </w:tcBorders>
          </w:tcPr>
          <w:p w14:paraId="24CA41F4" w14:textId="77777777" w:rsidR="0022086B" w:rsidRPr="00C04C4B" w:rsidRDefault="0065443B">
            <w:pPr>
              <w:widowControl/>
              <w:rPr>
                <w:rFonts w:ascii="Garamond" w:eastAsia="Garamond" w:hAnsi="Garamond" w:cs="Garamond"/>
                <w:color w:val="000000"/>
              </w:rPr>
            </w:pPr>
            <w:r w:rsidRPr="00C04C4B">
              <w:rPr>
                <w:rFonts w:ascii="Garamond" w:eastAsia="Garamond" w:hAnsi="Garamond" w:cs="Garamond"/>
                <w:color w:val="000000"/>
              </w:rPr>
              <w:t> </w:t>
            </w:r>
          </w:p>
        </w:tc>
        <w:tc>
          <w:tcPr>
            <w:tcW w:w="7649" w:type="dxa"/>
            <w:gridSpan w:val="5"/>
            <w:tcBorders>
              <w:top w:val="single" w:sz="4" w:space="0" w:color="000000"/>
              <w:left w:val="nil"/>
              <w:bottom w:val="single" w:sz="4" w:space="0" w:color="000000"/>
              <w:right w:val="single" w:sz="4" w:space="0" w:color="000000"/>
            </w:tcBorders>
            <w:vAlign w:val="center"/>
          </w:tcPr>
          <w:p w14:paraId="7E50F498" w14:textId="77777777" w:rsidR="0022086B" w:rsidRPr="00C04C4B" w:rsidRDefault="0065443B">
            <w:pPr>
              <w:widowControl/>
              <w:jc w:val="center"/>
              <w:rPr>
                <w:rFonts w:ascii="Garamond" w:eastAsia="Garamond" w:hAnsi="Garamond" w:cs="Garamond"/>
                <w:color w:val="000000"/>
              </w:rPr>
            </w:pPr>
            <w:r w:rsidRPr="00C04C4B">
              <w:rPr>
                <w:rFonts w:ascii="Garamond" w:eastAsia="Garamond" w:hAnsi="Garamond" w:cs="Garamond"/>
                <w:color w:val="000000"/>
              </w:rPr>
              <w:t>En caso de no usar centavos, los valores deben aproximarse al mayor Ej. Cumplimiento si el valor a asegurar es $14.980.420,20 aproximar a $14.980.421</w:t>
            </w:r>
          </w:p>
        </w:tc>
      </w:tr>
    </w:tbl>
    <w:p w14:paraId="446DFF27" w14:textId="77777777" w:rsidR="0022086B" w:rsidRPr="00C04C4B" w:rsidRDefault="0065443B">
      <w:pPr>
        <w:jc w:val="center"/>
        <w:rPr>
          <w:rFonts w:ascii="Garamond" w:eastAsia="Garamond" w:hAnsi="Garamond" w:cs="Garamond"/>
        </w:rPr>
      </w:pPr>
      <w:r w:rsidRPr="00C04C4B">
        <w:rPr>
          <w:rFonts w:ascii="Garamond" w:eastAsia="Garamond" w:hAnsi="Garamond" w:cs="Garamond"/>
        </w:rPr>
        <w:t>Tabla No. 23</w:t>
      </w:r>
    </w:p>
    <w:p w14:paraId="4AE245A6" w14:textId="77777777" w:rsidR="0022086B" w:rsidRPr="00C04C4B" w:rsidRDefault="0022086B">
      <w:pPr>
        <w:jc w:val="both"/>
        <w:rPr>
          <w:rFonts w:ascii="Garamond" w:eastAsia="Garamond" w:hAnsi="Garamond" w:cs="Garamond"/>
        </w:rPr>
      </w:pPr>
    </w:p>
    <w:p w14:paraId="6596D0E9" w14:textId="77777777" w:rsidR="0022086B" w:rsidRPr="00C04C4B" w:rsidRDefault="0065443B">
      <w:pPr>
        <w:jc w:val="both"/>
        <w:rPr>
          <w:rFonts w:ascii="Garamond" w:eastAsia="Garamond" w:hAnsi="Garamond" w:cs="Garamond"/>
        </w:rPr>
      </w:pPr>
      <w:r w:rsidRPr="00C04C4B">
        <w:rPr>
          <w:rFonts w:ascii="Garamond" w:eastAsia="Garamond" w:hAnsi="Garamond" w:cs="Garamond"/>
        </w:rPr>
        <w:t>El Interventor está obligado a restablecer el valor de la Garantía cuando esta se vea reducida por razón de las reclamaciones que efectúe la Entidad, así como a ampliar las Garantías en los eventos de adición, suspensión y/o prórroga del contrato. El no restablecimiento de la Garantía por parte del Interventor o su no adición o prórroga, según el caso, constituye causal de incumplimiento del contrato y se iniciarán los procesos sancionatorios a que haya lugar.</w:t>
      </w:r>
    </w:p>
    <w:p w14:paraId="65D97227" w14:textId="77777777" w:rsidR="0022086B" w:rsidRPr="00C04C4B" w:rsidRDefault="0022086B">
      <w:pPr>
        <w:jc w:val="both"/>
        <w:rPr>
          <w:rFonts w:ascii="Garamond" w:eastAsia="Garamond" w:hAnsi="Garamond" w:cs="Garamond"/>
        </w:rPr>
      </w:pPr>
    </w:p>
    <w:p w14:paraId="61FD3781" w14:textId="77777777" w:rsidR="0022086B" w:rsidRPr="00C04C4B" w:rsidRDefault="0065443B">
      <w:pPr>
        <w:jc w:val="both"/>
        <w:rPr>
          <w:rFonts w:ascii="Garamond" w:eastAsia="Garamond" w:hAnsi="Garamond" w:cs="Garamond"/>
          <w:b/>
        </w:rPr>
      </w:pPr>
      <w:r w:rsidRPr="00C04C4B">
        <w:rPr>
          <w:rFonts w:ascii="Garamond" w:eastAsia="Garamond" w:hAnsi="Garamond" w:cs="Garamond"/>
          <w:b/>
        </w:rPr>
        <w:t>DEL AMPARO DE CALIDAD DEL SERVICIO EN LA GARANTÍA ÚNICA DE CUMPLIMIENTO</w:t>
      </w:r>
    </w:p>
    <w:p w14:paraId="4A473AEF" w14:textId="77777777" w:rsidR="0022086B" w:rsidRPr="00C04C4B" w:rsidRDefault="0022086B">
      <w:pPr>
        <w:jc w:val="both"/>
        <w:rPr>
          <w:rFonts w:ascii="Garamond" w:eastAsia="Garamond" w:hAnsi="Garamond" w:cs="Garamond"/>
        </w:rPr>
      </w:pPr>
    </w:p>
    <w:p w14:paraId="29ACD252" w14:textId="77777777" w:rsidR="0022086B" w:rsidRPr="00C04C4B" w:rsidRDefault="0065443B">
      <w:pPr>
        <w:jc w:val="both"/>
        <w:rPr>
          <w:rFonts w:ascii="Garamond" w:eastAsia="Garamond" w:hAnsi="Garamond" w:cs="Garamond"/>
        </w:rPr>
      </w:pPr>
      <w:r w:rsidRPr="00C04C4B">
        <w:rPr>
          <w:rFonts w:ascii="Garamond" w:eastAsia="Garamond" w:hAnsi="Garamond" w:cs="Garamond"/>
        </w:rPr>
        <w:t>En relación con el amparo de calidad del servicio de la Garantía única de cumplimiento, se tendrá en cuenta que el Interventor será responsable por los perjuicios causados a la Entidad producidos con posterioridad a la terminación del contrato y que se compruebe tienen origen en una de dos hipótesis:</w:t>
      </w:r>
    </w:p>
    <w:p w14:paraId="660D520D" w14:textId="77777777" w:rsidR="0022086B" w:rsidRPr="00C04C4B" w:rsidRDefault="0022086B">
      <w:pPr>
        <w:jc w:val="both"/>
        <w:rPr>
          <w:rFonts w:ascii="Garamond" w:eastAsia="Garamond" w:hAnsi="Garamond" w:cs="Garamond"/>
        </w:rPr>
      </w:pPr>
    </w:p>
    <w:p w14:paraId="2811BAC1" w14:textId="77777777" w:rsidR="0022086B" w:rsidRPr="00C04C4B" w:rsidRDefault="0065443B">
      <w:pPr>
        <w:jc w:val="both"/>
        <w:rPr>
          <w:rFonts w:ascii="Garamond" w:eastAsia="Garamond" w:hAnsi="Garamond" w:cs="Garamond"/>
        </w:rPr>
      </w:pPr>
      <w:r w:rsidRPr="00C04C4B">
        <w:rPr>
          <w:rFonts w:ascii="Garamond" w:eastAsia="Garamond" w:hAnsi="Garamond" w:cs="Garamond"/>
        </w:rPr>
        <w:t>(i) mala calidad o precariedad de los productos entregados como resultado de la celebración de un contrato estatal y (</w:t>
      </w:r>
      <w:proofErr w:type="spellStart"/>
      <w:r w:rsidRPr="00C04C4B">
        <w:rPr>
          <w:rFonts w:ascii="Garamond" w:eastAsia="Garamond" w:hAnsi="Garamond" w:cs="Garamond"/>
        </w:rPr>
        <w:t>ii</w:t>
      </w:r>
      <w:proofErr w:type="spellEnd"/>
      <w:r w:rsidRPr="00C04C4B">
        <w:rPr>
          <w:rFonts w:ascii="Garamond" w:eastAsia="Garamond" w:hAnsi="Garamond" w:cs="Garamond"/>
        </w:rPr>
        <w:t>) mala calidad del servicio prestado, siempre y cuando se acredite que éstos son imputables al Contratista.</w:t>
      </w:r>
    </w:p>
    <w:p w14:paraId="4B364585" w14:textId="77777777" w:rsidR="0022086B" w:rsidRPr="00C04C4B" w:rsidRDefault="0065443B">
      <w:pPr>
        <w:jc w:val="both"/>
        <w:rPr>
          <w:rFonts w:ascii="Garamond" w:eastAsia="Garamond" w:hAnsi="Garamond" w:cs="Garamond"/>
        </w:rPr>
      </w:pPr>
      <w:r w:rsidRPr="00C04C4B">
        <w:rPr>
          <w:rFonts w:ascii="Garamond" w:hAnsi="Garamond"/>
          <w:noProof/>
        </w:rPr>
        <mc:AlternateContent>
          <mc:Choice Requires="wps">
            <w:drawing>
              <wp:anchor distT="0" distB="0" distL="0" distR="0" simplePos="0" relativeHeight="251663360" behindDoc="0" locked="0" layoutInCell="1" hidden="0" allowOverlap="1" wp14:anchorId="5C425445" wp14:editId="77A7D499">
                <wp:simplePos x="0" y="0"/>
                <wp:positionH relativeFrom="column">
                  <wp:posOffset>-38415</wp:posOffset>
                </wp:positionH>
                <wp:positionV relativeFrom="paragraph">
                  <wp:posOffset>173395</wp:posOffset>
                </wp:positionV>
                <wp:extent cx="6054090" cy="366395"/>
                <wp:effectExtent l="0" t="0" r="0" b="0"/>
                <wp:wrapTopAndBottom distT="0" distB="0"/>
                <wp:docPr id="131" name="Rectángulo 131"/>
                <wp:cNvGraphicFramePr/>
                <a:graphic xmlns:a="http://schemas.openxmlformats.org/drawingml/2006/main">
                  <a:graphicData uri="http://schemas.microsoft.com/office/word/2010/wordprocessingShape">
                    <wps:wsp>
                      <wps:cNvSpPr/>
                      <wps:spPr>
                        <a:xfrm>
                          <a:off x="2328480" y="3606328"/>
                          <a:ext cx="6035040" cy="347345"/>
                        </a:xfrm>
                        <a:prstGeom prst="rect">
                          <a:avLst/>
                        </a:prstGeom>
                        <a:solidFill>
                          <a:srgbClr val="D9D9D9"/>
                        </a:solidFill>
                        <a:ln w="9525" cap="flat" cmpd="sng">
                          <a:solidFill>
                            <a:srgbClr val="000000"/>
                          </a:solidFill>
                          <a:prstDash val="solid"/>
                          <a:round/>
                          <a:headEnd type="none" w="sm" len="sm"/>
                          <a:tailEnd type="none" w="sm" len="sm"/>
                        </a:ln>
                      </wps:spPr>
                      <wps:txbx>
                        <w:txbxContent>
                          <w:p w14:paraId="7B47A237" w14:textId="77777777" w:rsidR="0022086B" w:rsidRDefault="0065443B">
                            <w:pPr>
                              <w:spacing w:line="230" w:lineRule="auto"/>
                              <w:ind w:left="103" w:firstLine="206"/>
                              <w:textDirection w:val="btLr"/>
                            </w:pPr>
                            <w:r>
                              <w:rPr>
                                <w:b/>
                                <w:color w:val="000000"/>
                                <w:sz w:val="24"/>
                              </w:rPr>
                              <w:t>8. INDICACIÓN DE SI LA CONTRATACIÓN ESTA COBIJADA POR UN ACUERDO COMERCIAL.</w:t>
                            </w:r>
                          </w:p>
                        </w:txbxContent>
                      </wps:txbx>
                      <wps:bodyPr spcFirstLastPara="1" wrap="square" lIns="0" tIns="0" rIns="0" bIns="0" anchor="t" anchorCtr="0">
                        <a:noAutofit/>
                      </wps:bodyPr>
                    </wps:wsp>
                  </a:graphicData>
                </a:graphic>
              </wp:anchor>
            </w:drawing>
          </mc:Choice>
          <mc:Fallback>
            <w:pict>
              <v:rect w14:anchorId="5C425445" id="Rectángulo 131" o:spid="_x0000_s1041" style="position:absolute;left:0;text-align:left;margin-left:-3pt;margin-top:13.65pt;width:476.7pt;height:28.85pt;z-index:25166336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" fillcolor="#d9d9d9">
                <v:stroke startarrowwidth="narrow" startarrowlength="short" endarrowwidth="narrow" endarrowlength="short" joinstyle="round"/>
                <v:textbox inset="0,0,0,0">
                  <w:txbxContent>
                    <w:p w14:paraId="7B47A237" w14:textId="77777777" w:rsidR="0022086B" w:rsidRDefault="0065443B">
                      <w:pPr>
                        <w:spacing w:line="230" w:lineRule="auto"/>
                        <w:ind w:left="103" w:firstLine="206"/>
                        <w:textDirection w:val="btLr"/>
                      </w:pPr>
                      <w:r>
                        <w:rPr>
                          <w:b/>
                          <w:color w:val="000000"/>
                          <w:sz w:val="24"/>
                        </w:rPr>
                        <w:t>8. INDICACIÓN DE SI LA CONTRATACIÓN ESTA COBIJADA POR UN ACUERDO COMERCIAL.</w:t>
                      </w:r>
                    </w:p>
                  </w:txbxContent>
                </v:textbox>
                <w10:wrap type="topAndBottom"/>
              </v:rect>
            </w:pict>
          </mc:Fallback>
        </mc:AlternateContent>
      </w:r>
    </w:p>
    <w:p w14:paraId="7C15DD20" w14:textId="77777777" w:rsidR="0022086B" w:rsidRPr="00C04C4B" w:rsidRDefault="0022086B">
      <w:pPr>
        <w:jc w:val="both"/>
        <w:rPr>
          <w:rFonts w:ascii="Garamond" w:eastAsia="Garamond" w:hAnsi="Garamond" w:cs="Garamond"/>
        </w:rPr>
      </w:pPr>
    </w:p>
    <w:p w14:paraId="6DD0FE59" w14:textId="77777777" w:rsidR="0022086B" w:rsidRPr="00C04C4B" w:rsidRDefault="0065443B">
      <w:pPr>
        <w:jc w:val="both"/>
        <w:rPr>
          <w:rFonts w:ascii="Garamond" w:eastAsia="Garamond" w:hAnsi="Garamond" w:cs="Garamond"/>
        </w:rPr>
      </w:pPr>
      <w:r w:rsidRPr="00C04C4B">
        <w:rPr>
          <w:rFonts w:ascii="Garamond" w:eastAsia="Garamond" w:hAnsi="Garamond" w:cs="Garamond"/>
        </w:rPr>
        <w:t>El Proceso de Contratación está cubierto por los siguientes Acuerdos Comerciales y por la Decisión 439 de la Secretaría de la Comunidad Andina de Naciones (CAN):</w:t>
      </w:r>
    </w:p>
    <w:p w14:paraId="05BA8190" w14:textId="77777777" w:rsidR="0022086B" w:rsidRPr="00C04C4B" w:rsidRDefault="0022086B">
      <w:pPr>
        <w:jc w:val="both"/>
        <w:rPr>
          <w:rFonts w:ascii="Garamond" w:eastAsia="Garamond" w:hAnsi="Garamond" w:cs="Garamond"/>
        </w:rPr>
      </w:pPr>
    </w:p>
    <w:tbl>
      <w:tblPr>
        <w:tblStyle w:val="aff7"/>
        <w:tblW w:w="93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51"/>
        <w:gridCol w:w="1660"/>
        <w:gridCol w:w="1156"/>
        <w:gridCol w:w="1423"/>
        <w:gridCol w:w="1463"/>
        <w:gridCol w:w="918"/>
        <w:gridCol w:w="1122"/>
      </w:tblGrid>
      <w:tr w:rsidR="0022086B" w:rsidRPr="00C04C4B" w14:paraId="5C186914" w14:textId="77777777" w:rsidTr="00980509">
        <w:trPr>
          <w:trHeight w:val="1574"/>
          <w:tblHeader/>
        </w:trPr>
        <w:tc>
          <w:tcPr>
            <w:tcW w:w="3312" w:type="dxa"/>
            <w:gridSpan w:val="2"/>
          </w:tcPr>
          <w:p w14:paraId="5F093412" w14:textId="77777777" w:rsidR="0022086B" w:rsidRPr="00C04C4B" w:rsidRDefault="0022086B">
            <w:pPr>
              <w:jc w:val="both"/>
              <w:rPr>
                <w:rFonts w:ascii="Garamond" w:eastAsia="Garamond" w:hAnsi="Garamond" w:cs="Garamond"/>
              </w:rPr>
            </w:pPr>
          </w:p>
          <w:p w14:paraId="7F1F90AB" w14:textId="77777777" w:rsidR="0022086B" w:rsidRPr="00C04C4B" w:rsidRDefault="0022086B">
            <w:pPr>
              <w:jc w:val="both"/>
              <w:rPr>
                <w:rFonts w:ascii="Garamond" w:eastAsia="Garamond" w:hAnsi="Garamond" w:cs="Garamond"/>
              </w:rPr>
            </w:pPr>
          </w:p>
          <w:p w14:paraId="78FDF32B" w14:textId="77777777" w:rsidR="0022086B" w:rsidRPr="00C04C4B" w:rsidRDefault="0065443B">
            <w:pPr>
              <w:jc w:val="both"/>
              <w:rPr>
                <w:rFonts w:ascii="Garamond" w:eastAsia="Garamond" w:hAnsi="Garamond" w:cs="Garamond"/>
              </w:rPr>
            </w:pPr>
            <w:r w:rsidRPr="00C04C4B">
              <w:rPr>
                <w:rFonts w:ascii="Garamond" w:eastAsia="Garamond" w:hAnsi="Garamond" w:cs="Garamond"/>
              </w:rPr>
              <w:t>Acuerdo Comercial</w:t>
            </w:r>
          </w:p>
        </w:tc>
        <w:tc>
          <w:tcPr>
            <w:tcW w:w="1156" w:type="dxa"/>
          </w:tcPr>
          <w:p w14:paraId="4166ACFC" w14:textId="77777777" w:rsidR="0022086B" w:rsidRPr="00C04C4B" w:rsidRDefault="0022086B">
            <w:pPr>
              <w:jc w:val="both"/>
              <w:rPr>
                <w:rFonts w:ascii="Garamond" w:eastAsia="Garamond" w:hAnsi="Garamond" w:cs="Garamond"/>
              </w:rPr>
            </w:pPr>
          </w:p>
          <w:p w14:paraId="1B071CD6" w14:textId="77777777" w:rsidR="0022086B" w:rsidRPr="00C04C4B" w:rsidRDefault="0065443B">
            <w:pPr>
              <w:jc w:val="both"/>
              <w:rPr>
                <w:rFonts w:ascii="Garamond" w:eastAsia="Garamond" w:hAnsi="Garamond" w:cs="Garamond"/>
              </w:rPr>
            </w:pPr>
            <w:r w:rsidRPr="00C04C4B">
              <w:rPr>
                <w:rFonts w:ascii="Garamond" w:eastAsia="Garamond" w:hAnsi="Garamond" w:cs="Garamond"/>
              </w:rPr>
              <w:t>Entidad Estatal incluida</w:t>
            </w:r>
          </w:p>
        </w:tc>
        <w:tc>
          <w:tcPr>
            <w:tcW w:w="1423" w:type="dxa"/>
          </w:tcPr>
          <w:p w14:paraId="7AE9F6AF" w14:textId="77777777" w:rsidR="0022086B" w:rsidRPr="00C04C4B" w:rsidRDefault="0065443B">
            <w:pPr>
              <w:jc w:val="both"/>
              <w:rPr>
                <w:rFonts w:ascii="Garamond" w:eastAsia="Garamond" w:hAnsi="Garamond" w:cs="Garamond"/>
              </w:rPr>
            </w:pPr>
            <w:r w:rsidRPr="00C04C4B">
              <w:rPr>
                <w:rFonts w:ascii="Garamond" w:eastAsia="Garamond" w:hAnsi="Garamond" w:cs="Garamond"/>
              </w:rPr>
              <w:t>Presupuesto</w:t>
            </w:r>
          </w:p>
          <w:p w14:paraId="7CA99992" w14:textId="77777777" w:rsidR="0022086B" w:rsidRPr="00C04C4B" w:rsidRDefault="0065443B">
            <w:pPr>
              <w:jc w:val="both"/>
              <w:rPr>
                <w:rFonts w:ascii="Garamond" w:eastAsia="Garamond" w:hAnsi="Garamond" w:cs="Garamond"/>
              </w:rPr>
            </w:pPr>
            <w:r w:rsidRPr="00C04C4B">
              <w:rPr>
                <w:rFonts w:ascii="Garamond" w:eastAsia="Garamond" w:hAnsi="Garamond" w:cs="Garamond"/>
              </w:rPr>
              <w:t>del Proceso de Contratación superior al valor del Acuerdo Co-</w:t>
            </w:r>
          </w:p>
          <w:p w14:paraId="11757BF0" w14:textId="77777777" w:rsidR="0022086B" w:rsidRPr="00C04C4B" w:rsidRDefault="0065443B">
            <w:pPr>
              <w:jc w:val="both"/>
              <w:rPr>
                <w:rFonts w:ascii="Garamond" w:eastAsia="Garamond" w:hAnsi="Garamond" w:cs="Garamond"/>
              </w:rPr>
            </w:pPr>
            <w:proofErr w:type="spellStart"/>
            <w:r w:rsidRPr="00C04C4B">
              <w:rPr>
                <w:rFonts w:ascii="Garamond" w:eastAsia="Garamond" w:hAnsi="Garamond" w:cs="Garamond"/>
              </w:rPr>
              <w:t>mercial</w:t>
            </w:r>
            <w:proofErr w:type="spellEnd"/>
          </w:p>
        </w:tc>
        <w:tc>
          <w:tcPr>
            <w:tcW w:w="1463" w:type="dxa"/>
          </w:tcPr>
          <w:p w14:paraId="63207071" w14:textId="77777777" w:rsidR="0022086B" w:rsidRPr="00C04C4B" w:rsidRDefault="0022086B">
            <w:pPr>
              <w:jc w:val="both"/>
              <w:rPr>
                <w:rFonts w:ascii="Garamond" w:eastAsia="Garamond" w:hAnsi="Garamond" w:cs="Garamond"/>
              </w:rPr>
            </w:pPr>
          </w:p>
          <w:p w14:paraId="6E86791D" w14:textId="77777777" w:rsidR="0022086B" w:rsidRPr="00C04C4B" w:rsidRDefault="0065443B">
            <w:pPr>
              <w:jc w:val="both"/>
              <w:rPr>
                <w:rFonts w:ascii="Garamond" w:eastAsia="Garamond" w:hAnsi="Garamond" w:cs="Garamond"/>
              </w:rPr>
            </w:pPr>
            <w:r w:rsidRPr="00C04C4B">
              <w:rPr>
                <w:rFonts w:ascii="Garamond" w:eastAsia="Garamond" w:hAnsi="Garamond" w:cs="Garamond"/>
              </w:rPr>
              <w:t>Excepción aplicable al Proceso de Contratación</w:t>
            </w:r>
          </w:p>
        </w:tc>
        <w:tc>
          <w:tcPr>
            <w:tcW w:w="918" w:type="dxa"/>
          </w:tcPr>
          <w:p w14:paraId="37E1341D" w14:textId="77777777" w:rsidR="0022086B" w:rsidRPr="00C04C4B" w:rsidRDefault="0022086B">
            <w:pPr>
              <w:jc w:val="both"/>
              <w:rPr>
                <w:rFonts w:ascii="Garamond" w:eastAsia="Garamond" w:hAnsi="Garamond" w:cs="Garamond"/>
              </w:rPr>
            </w:pPr>
          </w:p>
          <w:p w14:paraId="559909A3" w14:textId="77777777" w:rsidR="0022086B" w:rsidRPr="00C04C4B" w:rsidRDefault="0022086B">
            <w:pPr>
              <w:jc w:val="both"/>
              <w:rPr>
                <w:rFonts w:ascii="Garamond" w:eastAsia="Garamond" w:hAnsi="Garamond" w:cs="Garamond"/>
              </w:rPr>
            </w:pPr>
          </w:p>
          <w:p w14:paraId="6B138888" w14:textId="77777777" w:rsidR="0022086B" w:rsidRPr="00C04C4B" w:rsidRDefault="0065443B">
            <w:pPr>
              <w:jc w:val="both"/>
              <w:rPr>
                <w:rFonts w:ascii="Garamond" w:eastAsia="Garamond" w:hAnsi="Garamond" w:cs="Garamond"/>
              </w:rPr>
            </w:pPr>
            <w:r w:rsidRPr="00C04C4B">
              <w:rPr>
                <w:rFonts w:ascii="Garamond" w:eastAsia="Garamond" w:hAnsi="Garamond" w:cs="Garamond"/>
              </w:rPr>
              <w:t>No. Excepción</w:t>
            </w:r>
          </w:p>
        </w:tc>
        <w:tc>
          <w:tcPr>
            <w:tcW w:w="1122" w:type="dxa"/>
          </w:tcPr>
          <w:p w14:paraId="6769ACD6" w14:textId="77777777" w:rsidR="0022086B" w:rsidRPr="00C04C4B" w:rsidRDefault="0065443B">
            <w:pPr>
              <w:jc w:val="both"/>
              <w:rPr>
                <w:rFonts w:ascii="Garamond" w:eastAsia="Garamond" w:hAnsi="Garamond" w:cs="Garamond"/>
              </w:rPr>
            </w:pPr>
            <w:r w:rsidRPr="00C04C4B">
              <w:rPr>
                <w:rFonts w:ascii="Garamond" w:eastAsia="Garamond" w:hAnsi="Garamond" w:cs="Garamond"/>
              </w:rPr>
              <w:t>Proceso de Contratación cubierto por el Acuerdo Comercial</w:t>
            </w:r>
          </w:p>
        </w:tc>
      </w:tr>
      <w:tr w:rsidR="0022086B" w:rsidRPr="00C04C4B" w14:paraId="65DB74F5" w14:textId="77777777">
        <w:trPr>
          <w:trHeight w:val="306"/>
        </w:trPr>
        <w:tc>
          <w:tcPr>
            <w:tcW w:w="1652" w:type="dxa"/>
          </w:tcPr>
          <w:p w14:paraId="2F840E37" w14:textId="77777777" w:rsidR="0022086B" w:rsidRPr="00C04C4B" w:rsidRDefault="0065443B">
            <w:pPr>
              <w:jc w:val="both"/>
              <w:rPr>
                <w:rFonts w:ascii="Garamond" w:eastAsia="Garamond" w:hAnsi="Garamond" w:cs="Garamond"/>
              </w:rPr>
            </w:pPr>
            <w:r w:rsidRPr="00C04C4B">
              <w:rPr>
                <w:rFonts w:ascii="Garamond" w:eastAsia="Garamond" w:hAnsi="Garamond" w:cs="Garamond"/>
              </w:rPr>
              <w:t>Alianza Pacífico</w:t>
            </w:r>
          </w:p>
        </w:tc>
        <w:tc>
          <w:tcPr>
            <w:tcW w:w="1660" w:type="dxa"/>
          </w:tcPr>
          <w:p w14:paraId="782227AC" w14:textId="77777777" w:rsidR="0022086B" w:rsidRPr="00C04C4B" w:rsidRDefault="0065443B">
            <w:pPr>
              <w:jc w:val="both"/>
              <w:rPr>
                <w:rFonts w:ascii="Garamond" w:eastAsia="Garamond" w:hAnsi="Garamond" w:cs="Garamond"/>
              </w:rPr>
            </w:pPr>
            <w:r w:rsidRPr="00C04C4B">
              <w:rPr>
                <w:rFonts w:ascii="Garamond" w:eastAsia="Garamond" w:hAnsi="Garamond" w:cs="Garamond"/>
              </w:rPr>
              <w:t>Chile</w:t>
            </w:r>
          </w:p>
        </w:tc>
        <w:tc>
          <w:tcPr>
            <w:tcW w:w="1156" w:type="dxa"/>
          </w:tcPr>
          <w:p w14:paraId="5158ED91" w14:textId="77777777" w:rsidR="0022086B" w:rsidRPr="00C04C4B" w:rsidRDefault="0065443B">
            <w:pPr>
              <w:jc w:val="both"/>
              <w:rPr>
                <w:rFonts w:ascii="Garamond" w:eastAsia="Garamond" w:hAnsi="Garamond" w:cs="Garamond"/>
              </w:rPr>
            </w:pPr>
            <w:r w:rsidRPr="00C04C4B">
              <w:rPr>
                <w:rFonts w:ascii="Garamond" w:eastAsia="Garamond" w:hAnsi="Garamond" w:cs="Garamond"/>
              </w:rPr>
              <w:t>SI</w:t>
            </w:r>
          </w:p>
        </w:tc>
        <w:tc>
          <w:tcPr>
            <w:tcW w:w="1423" w:type="dxa"/>
          </w:tcPr>
          <w:p w14:paraId="5B9EA5B9"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1463" w:type="dxa"/>
          </w:tcPr>
          <w:p w14:paraId="70488012"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918" w:type="dxa"/>
          </w:tcPr>
          <w:p w14:paraId="286638E3" w14:textId="77777777" w:rsidR="0022086B" w:rsidRPr="00C04C4B" w:rsidRDefault="0065443B">
            <w:pPr>
              <w:jc w:val="both"/>
              <w:rPr>
                <w:rFonts w:ascii="Garamond" w:eastAsia="Garamond" w:hAnsi="Garamond" w:cs="Garamond"/>
              </w:rPr>
            </w:pPr>
            <w:r w:rsidRPr="00C04C4B">
              <w:rPr>
                <w:rFonts w:ascii="Garamond" w:eastAsia="Garamond" w:hAnsi="Garamond" w:cs="Garamond"/>
              </w:rPr>
              <w:t>-</w:t>
            </w:r>
          </w:p>
        </w:tc>
        <w:tc>
          <w:tcPr>
            <w:tcW w:w="1122" w:type="dxa"/>
          </w:tcPr>
          <w:p w14:paraId="74A12A2A"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r>
    </w:tbl>
    <w:p w14:paraId="2F22C3D4" w14:textId="77777777" w:rsidR="0022086B" w:rsidRPr="00C04C4B" w:rsidRDefault="0022086B">
      <w:pPr>
        <w:jc w:val="both"/>
        <w:rPr>
          <w:rFonts w:ascii="Garamond" w:eastAsia="Garamond" w:hAnsi="Garamond" w:cs="Garamond"/>
        </w:rPr>
      </w:pPr>
    </w:p>
    <w:tbl>
      <w:tblPr>
        <w:tblStyle w:val="aff8"/>
        <w:tblW w:w="939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67"/>
        <w:gridCol w:w="1674"/>
        <w:gridCol w:w="1170"/>
        <w:gridCol w:w="1437"/>
        <w:gridCol w:w="1477"/>
        <w:gridCol w:w="896"/>
        <w:gridCol w:w="1073"/>
      </w:tblGrid>
      <w:tr w:rsidR="0022086B" w:rsidRPr="00C04C4B" w14:paraId="6B2047D5" w14:textId="77777777">
        <w:trPr>
          <w:trHeight w:val="303"/>
        </w:trPr>
        <w:tc>
          <w:tcPr>
            <w:tcW w:w="1667" w:type="dxa"/>
            <w:vMerge w:val="restart"/>
            <w:tcBorders>
              <w:top w:val="nil"/>
            </w:tcBorders>
          </w:tcPr>
          <w:p w14:paraId="63BF7A46" w14:textId="77777777" w:rsidR="0022086B" w:rsidRPr="00C04C4B" w:rsidRDefault="0022086B">
            <w:pPr>
              <w:jc w:val="both"/>
              <w:rPr>
                <w:rFonts w:ascii="Garamond" w:eastAsia="Garamond" w:hAnsi="Garamond" w:cs="Garamond"/>
              </w:rPr>
            </w:pPr>
          </w:p>
        </w:tc>
        <w:tc>
          <w:tcPr>
            <w:tcW w:w="1674" w:type="dxa"/>
            <w:tcBorders>
              <w:top w:val="nil"/>
            </w:tcBorders>
          </w:tcPr>
          <w:p w14:paraId="43C2BC9A" w14:textId="77777777" w:rsidR="0022086B" w:rsidRPr="00C04C4B" w:rsidRDefault="0065443B">
            <w:pPr>
              <w:jc w:val="both"/>
              <w:rPr>
                <w:rFonts w:ascii="Garamond" w:eastAsia="Garamond" w:hAnsi="Garamond" w:cs="Garamond"/>
              </w:rPr>
            </w:pPr>
            <w:r w:rsidRPr="00C04C4B">
              <w:rPr>
                <w:rFonts w:ascii="Garamond" w:eastAsia="Garamond" w:hAnsi="Garamond" w:cs="Garamond"/>
              </w:rPr>
              <w:t>Perú</w:t>
            </w:r>
          </w:p>
        </w:tc>
        <w:tc>
          <w:tcPr>
            <w:tcW w:w="1170" w:type="dxa"/>
            <w:tcBorders>
              <w:top w:val="nil"/>
            </w:tcBorders>
          </w:tcPr>
          <w:p w14:paraId="20CA2C60" w14:textId="77777777" w:rsidR="0022086B" w:rsidRPr="00C04C4B" w:rsidRDefault="0065443B">
            <w:pPr>
              <w:jc w:val="both"/>
              <w:rPr>
                <w:rFonts w:ascii="Garamond" w:eastAsia="Garamond" w:hAnsi="Garamond" w:cs="Garamond"/>
              </w:rPr>
            </w:pPr>
            <w:r w:rsidRPr="00C04C4B">
              <w:rPr>
                <w:rFonts w:ascii="Garamond" w:eastAsia="Garamond" w:hAnsi="Garamond" w:cs="Garamond"/>
              </w:rPr>
              <w:t>SI</w:t>
            </w:r>
          </w:p>
        </w:tc>
        <w:tc>
          <w:tcPr>
            <w:tcW w:w="1437" w:type="dxa"/>
            <w:tcBorders>
              <w:top w:val="nil"/>
            </w:tcBorders>
          </w:tcPr>
          <w:p w14:paraId="07151CD8"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1477" w:type="dxa"/>
            <w:tcBorders>
              <w:top w:val="nil"/>
            </w:tcBorders>
          </w:tcPr>
          <w:p w14:paraId="50004643"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896" w:type="dxa"/>
            <w:tcBorders>
              <w:top w:val="nil"/>
            </w:tcBorders>
          </w:tcPr>
          <w:p w14:paraId="3594503B" w14:textId="77777777" w:rsidR="0022086B" w:rsidRPr="00C04C4B" w:rsidRDefault="0065443B">
            <w:pPr>
              <w:jc w:val="both"/>
              <w:rPr>
                <w:rFonts w:ascii="Garamond" w:eastAsia="Garamond" w:hAnsi="Garamond" w:cs="Garamond"/>
              </w:rPr>
            </w:pPr>
            <w:r w:rsidRPr="00C04C4B">
              <w:rPr>
                <w:rFonts w:ascii="Garamond" w:eastAsia="Garamond" w:hAnsi="Garamond" w:cs="Garamond"/>
              </w:rPr>
              <w:t>-</w:t>
            </w:r>
          </w:p>
        </w:tc>
        <w:tc>
          <w:tcPr>
            <w:tcW w:w="1073" w:type="dxa"/>
            <w:tcBorders>
              <w:top w:val="nil"/>
            </w:tcBorders>
          </w:tcPr>
          <w:p w14:paraId="15D6C3C0"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r>
      <w:tr w:rsidR="0022086B" w:rsidRPr="00C04C4B" w14:paraId="48BD2001" w14:textId="77777777">
        <w:trPr>
          <w:trHeight w:val="301"/>
        </w:trPr>
        <w:tc>
          <w:tcPr>
            <w:tcW w:w="1667" w:type="dxa"/>
            <w:vMerge/>
            <w:tcBorders>
              <w:top w:val="nil"/>
            </w:tcBorders>
          </w:tcPr>
          <w:p w14:paraId="5070A13A" w14:textId="77777777" w:rsidR="0022086B" w:rsidRPr="00C04C4B" w:rsidRDefault="0022086B">
            <w:pPr>
              <w:pBdr>
                <w:top w:val="nil"/>
                <w:left w:val="nil"/>
                <w:bottom w:val="nil"/>
                <w:right w:val="nil"/>
                <w:between w:val="nil"/>
              </w:pBdr>
              <w:spacing w:line="276" w:lineRule="auto"/>
              <w:rPr>
                <w:rFonts w:ascii="Garamond" w:eastAsia="Garamond" w:hAnsi="Garamond" w:cs="Garamond"/>
              </w:rPr>
            </w:pPr>
          </w:p>
        </w:tc>
        <w:tc>
          <w:tcPr>
            <w:tcW w:w="1674" w:type="dxa"/>
          </w:tcPr>
          <w:p w14:paraId="0BE608D0" w14:textId="77777777" w:rsidR="0022086B" w:rsidRPr="00C04C4B" w:rsidRDefault="0065443B">
            <w:pPr>
              <w:jc w:val="both"/>
              <w:rPr>
                <w:rFonts w:ascii="Garamond" w:eastAsia="Garamond" w:hAnsi="Garamond" w:cs="Garamond"/>
              </w:rPr>
            </w:pPr>
            <w:r w:rsidRPr="00C04C4B">
              <w:rPr>
                <w:rFonts w:ascii="Garamond" w:eastAsia="Garamond" w:hAnsi="Garamond" w:cs="Garamond"/>
              </w:rPr>
              <w:t>México</w:t>
            </w:r>
          </w:p>
        </w:tc>
        <w:tc>
          <w:tcPr>
            <w:tcW w:w="1170" w:type="dxa"/>
          </w:tcPr>
          <w:p w14:paraId="12ECC5C4"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1437" w:type="dxa"/>
          </w:tcPr>
          <w:p w14:paraId="206BBE81" w14:textId="77777777" w:rsidR="0022086B" w:rsidRPr="00C04C4B" w:rsidRDefault="0065443B">
            <w:pPr>
              <w:jc w:val="both"/>
              <w:rPr>
                <w:rFonts w:ascii="Garamond" w:eastAsia="Garamond" w:hAnsi="Garamond" w:cs="Garamond"/>
              </w:rPr>
            </w:pPr>
            <w:r w:rsidRPr="00C04C4B">
              <w:rPr>
                <w:rFonts w:ascii="Garamond" w:eastAsia="Garamond" w:hAnsi="Garamond" w:cs="Garamond"/>
              </w:rPr>
              <w:t>SI</w:t>
            </w:r>
          </w:p>
        </w:tc>
        <w:tc>
          <w:tcPr>
            <w:tcW w:w="1477" w:type="dxa"/>
          </w:tcPr>
          <w:p w14:paraId="60782D95"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896" w:type="dxa"/>
          </w:tcPr>
          <w:p w14:paraId="7D799B58" w14:textId="77777777" w:rsidR="0022086B" w:rsidRPr="00C04C4B" w:rsidRDefault="0065443B">
            <w:pPr>
              <w:jc w:val="both"/>
              <w:rPr>
                <w:rFonts w:ascii="Garamond" w:eastAsia="Garamond" w:hAnsi="Garamond" w:cs="Garamond"/>
              </w:rPr>
            </w:pPr>
            <w:r w:rsidRPr="00C04C4B">
              <w:rPr>
                <w:rFonts w:ascii="Garamond" w:eastAsia="Garamond" w:hAnsi="Garamond" w:cs="Garamond"/>
              </w:rPr>
              <w:t>-</w:t>
            </w:r>
          </w:p>
        </w:tc>
        <w:tc>
          <w:tcPr>
            <w:tcW w:w="1073" w:type="dxa"/>
          </w:tcPr>
          <w:p w14:paraId="3D498697"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r>
      <w:tr w:rsidR="0022086B" w:rsidRPr="00C04C4B" w14:paraId="772F80D1" w14:textId="77777777">
        <w:trPr>
          <w:trHeight w:val="306"/>
        </w:trPr>
        <w:tc>
          <w:tcPr>
            <w:tcW w:w="3341" w:type="dxa"/>
            <w:gridSpan w:val="2"/>
          </w:tcPr>
          <w:p w14:paraId="1A819557" w14:textId="77777777" w:rsidR="0022086B" w:rsidRPr="00C04C4B" w:rsidRDefault="0065443B">
            <w:pPr>
              <w:jc w:val="both"/>
              <w:rPr>
                <w:rFonts w:ascii="Garamond" w:eastAsia="Garamond" w:hAnsi="Garamond" w:cs="Garamond"/>
              </w:rPr>
            </w:pPr>
            <w:r w:rsidRPr="00C04C4B">
              <w:rPr>
                <w:rFonts w:ascii="Garamond" w:eastAsia="Garamond" w:hAnsi="Garamond" w:cs="Garamond"/>
              </w:rPr>
              <w:t>Costa Rica</w:t>
            </w:r>
          </w:p>
        </w:tc>
        <w:tc>
          <w:tcPr>
            <w:tcW w:w="1170" w:type="dxa"/>
          </w:tcPr>
          <w:p w14:paraId="784AEF50" w14:textId="77777777" w:rsidR="0022086B" w:rsidRPr="00C04C4B" w:rsidRDefault="0065443B">
            <w:pPr>
              <w:jc w:val="both"/>
              <w:rPr>
                <w:rFonts w:ascii="Garamond" w:eastAsia="Garamond" w:hAnsi="Garamond" w:cs="Garamond"/>
              </w:rPr>
            </w:pPr>
            <w:r w:rsidRPr="00C04C4B">
              <w:rPr>
                <w:rFonts w:ascii="Garamond" w:eastAsia="Garamond" w:hAnsi="Garamond" w:cs="Garamond"/>
              </w:rPr>
              <w:t>SI</w:t>
            </w:r>
          </w:p>
        </w:tc>
        <w:tc>
          <w:tcPr>
            <w:tcW w:w="1437" w:type="dxa"/>
          </w:tcPr>
          <w:p w14:paraId="6DCBBF8E"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1477" w:type="dxa"/>
          </w:tcPr>
          <w:p w14:paraId="3C808F37"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896" w:type="dxa"/>
          </w:tcPr>
          <w:p w14:paraId="2B0308B9" w14:textId="77777777" w:rsidR="0022086B" w:rsidRPr="00C04C4B" w:rsidRDefault="0065443B">
            <w:pPr>
              <w:jc w:val="both"/>
              <w:rPr>
                <w:rFonts w:ascii="Garamond" w:eastAsia="Garamond" w:hAnsi="Garamond" w:cs="Garamond"/>
              </w:rPr>
            </w:pPr>
            <w:r w:rsidRPr="00C04C4B">
              <w:rPr>
                <w:rFonts w:ascii="Garamond" w:eastAsia="Garamond" w:hAnsi="Garamond" w:cs="Garamond"/>
              </w:rPr>
              <w:t>-</w:t>
            </w:r>
          </w:p>
        </w:tc>
        <w:tc>
          <w:tcPr>
            <w:tcW w:w="1073" w:type="dxa"/>
          </w:tcPr>
          <w:p w14:paraId="2E726F95"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r>
      <w:tr w:rsidR="0022086B" w:rsidRPr="00C04C4B" w14:paraId="6E23C745" w14:textId="77777777">
        <w:trPr>
          <w:trHeight w:val="301"/>
        </w:trPr>
        <w:tc>
          <w:tcPr>
            <w:tcW w:w="3341" w:type="dxa"/>
            <w:gridSpan w:val="2"/>
          </w:tcPr>
          <w:p w14:paraId="746DBC05" w14:textId="77777777" w:rsidR="0022086B" w:rsidRPr="00C04C4B" w:rsidRDefault="0065443B">
            <w:pPr>
              <w:jc w:val="both"/>
              <w:rPr>
                <w:rFonts w:ascii="Garamond" w:eastAsia="Garamond" w:hAnsi="Garamond" w:cs="Garamond"/>
              </w:rPr>
            </w:pPr>
            <w:r w:rsidRPr="00C04C4B">
              <w:rPr>
                <w:rFonts w:ascii="Garamond" w:eastAsia="Garamond" w:hAnsi="Garamond" w:cs="Garamond"/>
              </w:rPr>
              <w:t>Canadá</w:t>
            </w:r>
          </w:p>
        </w:tc>
        <w:tc>
          <w:tcPr>
            <w:tcW w:w="1170" w:type="dxa"/>
          </w:tcPr>
          <w:p w14:paraId="30D313D0"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1437" w:type="dxa"/>
          </w:tcPr>
          <w:p w14:paraId="2CABE01D" w14:textId="77777777" w:rsidR="0022086B" w:rsidRPr="00C04C4B" w:rsidRDefault="0065443B">
            <w:pPr>
              <w:jc w:val="both"/>
              <w:rPr>
                <w:rFonts w:ascii="Garamond" w:eastAsia="Garamond" w:hAnsi="Garamond" w:cs="Garamond"/>
              </w:rPr>
            </w:pPr>
            <w:r w:rsidRPr="00C04C4B">
              <w:rPr>
                <w:rFonts w:ascii="Garamond" w:eastAsia="Garamond" w:hAnsi="Garamond" w:cs="Garamond"/>
              </w:rPr>
              <w:t>SI</w:t>
            </w:r>
          </w:p>
        </w:tc>
        <w:tc>
          <w:tcPr>
            <w:tcW w:w="1477" w:type="dxa"/>
          </w:tcPr>
          <w:p w14:paraId="58C1924C"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896" w:type="dxa"/>
          </w:tcPr>
          <w:p w14:paraId="15165EAE" w14:textId="77777777" w:rsidR="0022086B" w:rsidRPr="00C04C4B" w:rsidRDefault="0065443B">
            <w:pPr>
              <w:jc w:val="both"/>
              <w:rPr>
                <w:rFonts w:ascii="Garamond" w:eastAsia="Garamond" w:hAnsi="Garamond" w:cs="Garamond"/>
              </w:rPr>
            </w:pPr>
            <w:r w:rsidRPr="00C04C4B">
              <w:rPr>
                <w:rFonts w:ascii="Garamond" w:eastAsia="Garamond" w:hAnsi="Garamond" w:cs="Garamond"/>
              </w:rPr>
              <w:t>-</w:t>
            </w:r>
          </w:p>
        </w:tc>
        <w:tc>
          <w:tcPr>
            <w:tcW w:w="1073" w:type="dxa"/>
          </w:tcPr>
          <w:p w14:paraId="163AF05C"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r>
      <w:tr w:rsidR="0022086B" w:rsidRPr="00C04C4B" w14:paraId="7B365854" w14:textId="77777777">
        <w:trPr>
          <w:trHeight w:val="301"/>
        </w:trPr>
        <w:tc>
          <w:tcPr>
            <w:tcW w:w="3341" w:type="dxa"/>
            <w:gridSpan w:val="2"/>
          </w:tcPr>
          <w:p w14:paraId="6DA097B4" w14:textId="77777777" w:rsidR="0022086B" w:rsidRPr="00C04C4B" w:rsidRDefault="0065443B">
            <w:pPr>
              <w:jc w:val="both"/>
              <w:rPr>
                <w:rFonts w:ascii="Garamond" w:eastAsia="Garamond" w:hAnsi="Garamond" w:cs="Garamond"/>
              </w:rPr>
            </w:pPr>
            <w:r w:rsidRPr="00C04C4B">
              <w:rPr>
                <w:rFonts w:ascii="Garamond" w:eastAsia="Garamond" w:hAnsi="Garamond" w:cs="Garamond"/>
              </w:rPr>
              <w:t>Chile</w:t>
            </w:r>
          </w:p>
        </w:tc>
        <w:tc>
          <w:tcPr>
            <w:tcW w:w="1170" w:type="dxa"/>
          </w:tcPr>
          <w:p w14:paraId="44E8B520" w14:textId="77777777" w:rsidR="0022086B" w:rsidRPr="00C04C4B" w:rsidRDefault="0065443B">
            <w:pPr>
              <w:jc w:val="both"/>
              <w:rPr>
                <w:rFonts w:ascii="Garamond" w:eastAsia="Garamond" w:hAnsi="Garamond" w:cs="Garamond"/>
              </w:rPr>
            </w:pPr>
            <w:r w:rsidRPr="00C04C4B">
              <w:rPr>
                <w:rFonts w:ascii="Garamond" w:eastAsia="Garamond" w:hAnsi="Garamond" w:cs="Garamond"/>
              </w:rPr>
              <w:t>SI</w:t>
            </w:r>
          </w:p>
        </w:tc>
        <w:tc>
          <w:tcPr>
            <w:tcW w:w="1437" w:type="dxa"/>
          </w:tcPr>
          <w:p w14:paraId="2E795349"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1477" w:type="dxa"/>
          </w:tcPr>
          <w:p w14:paraId="7F7CD602"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896" w:type="dxa"/>
          </w:tcPr>
          <w:p w14:paraId="732AF74B" w14:textId="77777777" w:rsidR="0022086B" w:rsidRPr="00C04C4B" w:rsidRDefault="0065443B">
            <w:pPr>
              <w:jc w:val="both"/>
              <w:rPr>
                <w:rFonts w:ascii="Garamond" w:eastAsia="Garamond" w:hAnsi="Garamond" w:cs="Garamond"/>
              </w:rPr>
            </w:pPr>
            <w:r w:rsidRPr="00C04C4B">
              <w:rPr>
                <w:rFonts w:ascii="Garamond" w:eastAsia="Garamond" w:hAnsi="Garamond" w:cs="Garamond"/>
              </w:rPr>
              <w:t>-</w:t>
            </w:r>
          </w:p>
        </w:tc>
        <w:tc>
          <w:tcPr>
            <w:tcW w:w="1073" w:type="dxa"/>
          </w:tcPr>
          <w:p w14:paraId="525E0017"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r>
      <w:tr w:rsidR="0022086B" w:rsidRPr="00C04C4B" w14:paraId="5874206B" w14:textId="77777777">
        <w:trPr>
          <w:trHeight w:val="302"/>
        </w:trPr>
        <w:tc>
          <w:tcPr>
            <w:tcW w:w="3341" w:type="dxa"/>
            <w:gridSpan w:val="2"/>
          </w:tcPr>
          <w:p w14:paraId="6EE796E2" w14:textId="77777777" w:rsidR="0022086B" w:rsidRPr="00C04C4B" w:rsidRDefault="0065443B">
            <w:pPr>
              <w:jc w:val="both"/>
              <w:rPr>
                <w:rFonts w:ascii="Garamond" w:eastAsia="Garamond" w:hAnsi="Garamond" w:cs="Garamond"/>
              </w:rPr>
            </w:pPr>
            <w:r w:rsidRPr="00C04C4B">
              <w:rPr>
                <w:rFonts w:ascii="Garamond" w:eastAsia="Garamond" w:hAnsi="Garamond" w:cs="Garamond"/>
              </w:rPr>
              <w:t>Estados Unidos</w:t>
            </w:r>
          </w:p>
        </w:tc>
        <w:tc>
          <w:tcPr>
            <w:tcW w:w="1170" w:type="dxa"/>
          </w:tcPr>
          <w:p w14:paraId="45944C6B"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1437" w:type="dxa"/>
          </w:tcPr>
          <w:p w14:paraId="6544897F" w14:textId="77777777" w:rsidR="0022086B" w:rsidRPr="00C04C4B" w:rsidRDefault="0065443B">
            <w:pPr>
              <w:jc w:val="both"/>
              <w:rPr>
                <w:rFonts w:ascii="Garamond" w:eastAsia="Garamond" w:hAnsi="Garamond" w:cs="Garamond"/>
              </w:rPr>
            </w:pPr>
            <w:r w:rsidRPr="00C04C4B">
              <w:rPr>
                <w:rFonts w:ascii="Garamond" w:eastAsia="Garamond" w:hAnsi="Garamond" w:cs="Garamond"/>
              </w:rPr>
              <w:t>SI</w:t>
            </w:r>
          </w:p>
        </w:tc>
        <w:tc>
          <w:tcPr>
            <w:tcW w:w="1477" w:type="dxa"/>
          </w:tcPr>
          <w:p w14:paraId="115BCB2B"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896" w:type="dxa"/>
          </w:tcPr>
          <w:p w14:paraId="098DF808" w14:textId="77777777" w:rsidR="0022086B" w:rsidRPr="00C04C4B" w:rsidRDefault="0065443B">
            <w:pPr>
              <w:jc w:val="both"/>
              <w:rPr>
                <w:rFonts w:ascii="Garamond" w:eastAsia="Garamond" w:hAnsi="Garamond" w:cs="Garamond"/>
              </w:rPr>
            </w:pPr>
            <w:r w:rsidRPr="00C04C4B">
              <w:rPr>
                <w:rFonts w:ascii="Garamond" w:eastAsia="Garamond" w:hAnsi="Garamond" w:cs="Garamond"/>
              </w:rPr>
              <w:t>-</w:t>
            </w:r>
          </w:p>
        </w:tc>
        <w:tc>
          <w:tcPr>
            <w:tcW w:w="1073" w:type="dxa"/>
          </w:tcPr>
          <w:p w14:paraId="2671025B"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r>
      <w:tr w:rsidR="0022086B" w:rsidRPr="00C04C4B" w14:paraId="1358D484" w14:textId="77777777">
        <w:trPr>
          <w:trHeight w:val="305"/>
        </w:trPr>
        <w:tc>
          <w:tcPr>
            <w:tcW w:w="1667" w:type="dxa"/>
            <w:vMerge w:val="restart"/>
          </w:tcPr>
          <w:p w14:paraId="7A0C8E05" w14:textId="77777777" w:rsidR="0022086B" w:rsidRPr="00C04C4B" w:rsidRDefault="0022086B">
            <w:pPr>
              <w:jc w:val="both"/>
              <w:rPr>
                <w:rFonts w:ascii="Garamond" w:eastAsia="Garamond" w:hAnsi="Garamond" w:cs="Garamond"/>
              </w:rPr>
            </w:pPr>
          </w:p>
          <w:p w14:paraId="4EB15E43" w14:textId="77777777" w:rsidR="0022086B" w:rsidRPr="00C04C4B" w:rsidRDefault="0065443B">
            <w:pPr>
              <w:jc w:val="both"/>
              <w:rPr>
                <w:rFonts w:ascii="Garamond" w:eastAsia="Garamond" w:hAnsi="Garamond" w:cs="Garamond"/>
              </w:rPr>
            </w:pPr>
            <w:r w:rsidRPr="00C04C4B">
              <w:rPr>
                <w:rFonts w:ascii="Garamond" w:eastAsia="Garamond" w:hAnsi="Garamond" w:cs="Garamond"/>
              </w:rPr>
              <w:t>Triángulo Norte</w:t>
            </w:r>
          </w:p>
        </w:tc>
        <w:tc>
          <w:tcPr>
            <w:tcW w:w="1674" w:type="dxa"/>
          </w:tcPr>
          <w:p w14:paraId="057A0157" w14:textId="77777777" w:rsidR="0022086B" w:rsidRPr="00C04C4B" w:rsidRDefault="0065443B">
            <w:pPr>
              <w:jc w:val="both"/>
              <w:rPr>
                <w:rFonts w:ascii="Garamond" w:eastAsia="Garamond" w:hAnsi="Garamond" w:cs="Garamond"/>
              </w:rPr>
            </w:pPr>
            <w:r w:rsidRPr="00C04C4B">
              <w:rPr>
                <w:rFonts w:ascii="Garamond" w:eastAsia="Garamond" w:hAnsi="Garamond" w:cs="Garamond"/>
              </w:rPr>
              <w:t>Guatemala</w:t>
            </w:r>
          </w:p>
        </w:tc>
        <w:tc>
          <w:tcPr>
            <w:tcW w:w="1170" w:type="dxa"/>
          </w:tcPr>
          <w:p w14:paraId="349227A5" w14:textId="77777777" w:rsidR="0022086B" w:rsidRPr="00C04C4B" w:rsidRDefault="0065443B">
            <w:pPr>
              <w:jc w:val="both"/>
              <w:rPr>
                <w:rFonts w:ascii="Garamond" w:eastAsia="Garamond" w:hAnsi="Garamond" w:cs="Garamond"/>
              </w:rPr>
            </w:pPr>
            <w:r w:rsidRPr="00C04C4B">
              <w:rPr>
                <w:rFonts w:ascii="Garamond" w:eastAsia="Garamond" w:hAnsi="Garamond" w:cs="Garamond"/>
              </w:rPr>
              <w:t>SI</w:t>
            </w:r>
          </w:p>
        </w:tc>
        <w:tc>
          <w:tcPr>
            <w:tcW w:w="1437" w:type="dxa"/>
          </w:tcPr>
          <w:p w14:paraId="6607B1E4" w14:textId="77777777" w:rsidR="0022086B" w:rsidRPr="00C04C4B" w:rsidRDefault="0065443B">
            <w:pPr>
              <w:jc w:val="both"/>
              <w:rPr>
                <w:rFonts w:ascii="Garamond" w:eastAsia="Garamond" w:hAnsi="Garamond" w:cs="Garamond"/>
              </w:rPr>
            </w:pPr>
            <w:r w:rsidRPr="00C04C4B">
              <w:rPr>
                <w:rFonts w:ascii="Garamond" w:eastAsia="Garamond" w:hAnsi="Garamond" w:cs="Garamond"/>
              </w:rPr>
              <w:t>SI</w:t>
            </w:r>
          </w:p>
        </w:tc>
        <w:tc>
          <w:tcPr>
            <w:tcW w:w="1477" w:type="dxa"/>
          </w:tcPr>
          <w:p w14:paraId="50406692"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896" w:type="dxa"/>
          </w:tcPr>
          <w:p w14:paraId="51ABDAB6" w14:textId="77777777" w:rsidR="0022086B" w:rsidRPr="00C04C4B" w:rsidRDefault="0065443B">
            <w:pPr>
              <w:jc w:val="both"/>
              <w:rPr>
                <w:rFonts w:ascii="Garamond" w:eastAsia="Garamond" w:hAnsi="Garamond" w:cs="Garamond"/>
              </w:rPr>
            </w:pPr>
            <w:r w:rsidRPr="00C04C4B">
              <w:rPr>
                <w:rFonts w:ascii="Garamond" w:eastAsia="Garamond" w:hAnsi="Garamond" w:cs="Garamond"/>
              </w:rPr>
              <w:t>-</w:t>
            </w:r>
          </w:p>
        </w:tc>
        <w:tc>
          <w:tcPr>
            <w:tcW w:w="1073" w:type="dxa"/>
          </w:tcPr>
          <w:p w14:paraId="48F252A1" w14:textId="77777777" w:rsidR="0022086B" w:rsidRPr="00C04C4B" w:rsidRDefault="0065443B">
            <w:pPr>
              <w:jc w:val="both"/>
              <w:rPr>
                <w:rFonts w:ascii="Garamond" w:eastAsia="Garamond" w:hAnsi="Garamond" w:cs="Garamond"/>
              </w:rPr>
            </w:pPr>
            <w:r w:rsidRPr="00C04C4B">
              <w:rPr>
                <w:rFonts w:ascii="Garamond" w:eastAsia="Garamond" w:hAnsi="Garamond" w:cs="Garamond"/>
              </w:rPr>
              <w:t>SI</w:t>
            </w:r>
          </w:p>
        </w:tc>
      </w:tr>
      <w:tr w:rsidR="0022086B" w:rsidRPr="00C04C4B" w14:paraId="7A1B0195" w14:textId="77777777">
        <w:trPr>
          <w:trHeight w:val="302"/>
        </w:trPr>
        <w:tc>
          <w:tcPr>
            <w:tcW w:w="1667" w:type="dxa"/>
            <w:vMerge/>
          </w:tcPr>
          <w:p w14:paraId="51DD8041" w14:textId="77777777" w:rsidR="0022086B" w:rsidRPr="00C04C4B" w:rsidRDefault="0022086B">
            <w:pPr>
              <w:pBdr>
                <w:top w:val="nil"/>
                <w:left w:val="nil"/>
                <w:bottom w:val="nil"/>
                <w:right w:val="nil"/>
                <w:between w:val="nil"/>
              </w:pBdr>
              <w:spacing w:line="276" w:lineRule="auto"/>
              <w:rPr>
                <w:rFonts w:ascii="Garamond" w:eastAsia="Garamond" w:hAnsi="Garamond" w:cs="Garamond"/>
              </w:rPr>
            </w:pPr>
          </w:p>
        </w:tc>
        <w:tc>
          <w:tcPr>
            <w:tcW w:w="1674" w:type="dxa"/>
          </w:tcPr>
          <w:p w14:paraId="398E0F36" w14:textId="77777777" w:rsidR="0022086B" w:rsidRPr="00C04C4B" w:rsidRDefault="0065443B">
            <w:pPr>
              <w:jc w:val="both"/>
              <w:rPr>
                <w:rFonts w:ascii="Garamond" w:eastAsia="Garamond" w:hAnsi="Garamond" w:cs="Garamond"/>
              </w:rPr>
            </w:pPr>
            <w:r w:rsidRPr="00C04C4B">
              <w:rPr>
                <w:rFonts w:ascii="Garamond" w:eastAsia="Garamond" w:hAnsi="Garamond" w:cs="Garamond"/>
              </w:rPr>
              <w:t>Salvador</w:t>
            </w:r>
          </w:p>
        </w:tc>
        <w:tc>
          <w:tcPr>
            <w:tcW w:w="1170" w:type="dxa"/>
          </w:tcPr>
          <w:p w14:paraId="19EA5D0A"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1437" w:type="dxa"/>
          </w:tcPr>
          <w:p w14:paraId="4F001AFA" w14:textId="77777777" w:rsidR="0022086B" w:rsidRPr="00C04C4B" w:rsidRDefault="0065443B">
            <w:pPr>
              <w:jc w:val="both"/>
              <w:rPr>
                <w:rFonts w:ascii="Garamond" w:eastAsia="Garamond" w:hAnsi="Garamond" w:cs="Garamond"/>
              </w:rPr>
            </w:pPr>
            <w:r w:rsidRPr="00C04C4B">
              <w:rPr>
                <w:rFonts w:ascii="Garamond" w:eastAsia="Garamond" w:hAnsi="Garamond" w:cs="Garamond"/>
              </w:rPr>
              <w:t>SI</w:t>
            </w:r>
          </w:p>
        </w:tc>
        <w:tc>
          <w:tcPr>
            <w:tcW w:w="1477" w:type="dxa"/>
          </w:tcPr>
          <w:p w14:paraId="5217DA90"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896" w:type="dxa"/>
          </w:tcPr>
          <w:p w14:paraId="782895CF" w14:textId="77777777" w:rsidR="0022086B" w:rsidRPr="00C04C4B" w:rsidRDefault="0065443B">
            <w:pPr>
              <w:jc w:val="both"/>
              <w:rPr>
                <w:rFonts w:ascii="Garamond" w:eastAsia="Garamond" w:hAnsi="Garamond" w:cs="Garamond"/>
              </w:rPr>
            </w:pPr>
            <w:r w:rsidRPr="00C04C4B">
              <w:rPr>
                <w:rFonts w:ascii="Garamond" w:eastAsia="Garamond" w:hAnsi="Garamond" w:cs="Garamond"/>
              </w:rPr>
              <w:t>-</w:t>
            </w:r>
          </w:p>
        </w:tc>
        <w:tc>
          <w:tcPr>
            <w:tcW w:w="1073" w:type="dxa"/>
          </w:tcPr>
          <w:p w14:paraId="48081BB0"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r>
      <w:tr w:rsidR="0022086B" w:rsidRPr="00C04C4B" w14:paraId="4A5BC833" w14:textId="77777777">
        <w:trPr>
          <w:trHeight w:val="301"/>
        </w:trPr>
        <w:tc>
          <w:tcPr>
            <w:tcW w:w="1667" w:type="dxa"/>
            <w:vMerge/>
          </w:tcPr>
          <w:p w14:paraId="79189860" w14:textId="77777777" w:rsidR="0022086B" w:rsidRPr="00C04C4B" w:rsidRDefault="0022086B">
            <w:pPr>
              <w:pBdr>
                <w:top w:val="nil"/>
                <w:left w:val="nil"/>
                <w:bottom w:val="nil"/>
                <w:right w:val="nil"/>
                <w:between w:val="nil"/>
              </w:pBdr>
              <w:spacing w:line="276" w:lineRule="auto"/>
              <w:rPr>
                <w:rFonts w:ascii="Garamond" w:eastAsia="Garamond" w:hAnsi="Garamond" w:cs="Garamond"/>
              </w:rPr>
            </w:pPr>
          </w:p>
        </w:tc>
        <w:tc>
          <w:tcPr>
            <w:tcW w:w="1674" w:type="dxa"/>
          </w:tcPr>
          <w:p w14:paraId="3F9AA6C4" w14:textId="77777777" w:rsidR="0022086B" w:rsidRPr="00C04C4B" w:rsidRDefault="0065443B">
            <w:pPr>
              <w:jc w:val="both"/>
              <w:rPr>
                <w:rFonts w:ascii="Garamond" w:eastAsia="Garamond" w:hAnsi="Garamond" w:cs="Garamond"/>
              </w:rPr>
            </w:pPr>
            <w:r w:rsidRPr="00C04C4B">
              <w:rPr>
                <w:rFonts w:ascii="Garamond" w:eastAsia="Garamond" w:hAnsi="Garamond" w:cs="Garamond"/>
              </w:rPr>
              <w:t>Honduras</w:t>
            </w:r>
          </w:p>
        </w:tc>
        <w:tc>
          <w:tcPr>
            <w:tcW w:w="1170" w:type="dxa"/>
          </w:tcPr>
          <w:p w14:paraId="2AFC8BD7"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1437" w:type="dxa"/>
          </w:tcPr>
          <w:p w14:paraId="358D7A64" w14:textId="77777777" w:rsidR="0022086B" w:rsidRPr="00C04C4B" w:rsidRDefault="0065443B">
            <w:pPr>
              <w:jc w:val="both"/>
              <w:rPr>
                <w:rFonts w:ascii="Garamond" w:eastAsia="Garamond" w:hAnsi="Garamond" w:cs="Garamond"/>
              </w:rPr>
            </w:pPr>
            <w:r w:rsidRPr="00C04C4B">
              <w:rPr>
                <w:rFonts w:ascii="Garamond" w:eastAsia="Garamond" w:hAnsi="Garamond" w:cs="Garamond"/>
              </w:rPr>
              <w:t>SI</w:t>
            </w:r>
          </w:p>
        </w:tc>
        <w:tc>
          <w:tcPr>
            <w:tcW w:w="1477" w:type="dxa"/>
          </w:tcPr>
          <w:p w14:paraId="0F9D2C84"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896" w:type="dxa"/>
          </w:tcPr>
          <w:p w14:paraId="1BC183CB" w14:textId="77777777" w:rsidR="0022086B" w:rsidRPr="00C04C4B" w:rsidRDefault="0065443B">
            <w:pPr>
              <w:jc w:val="both"/>
              <w:rPr>
                <w:rFonts w:ascii="Garamond" w:eastAsia="Garamond" w:hAnsi="Garamond" w:cs="Garamond"/>
              </w:rPr>
            </w:pPr>
            <w:r w:rsidRPr="00C04C4B">
              <w:rPr>
                <w:rFonts w:ascii="Garamond" w:eastAsia="Garamond" w:hAnsi="Garamond" w:cs="Garamond"/>
              </w:rPr>
              <w:t>-</w:t>
            </w:r>
          </w:p>
        </w:tc>
        <w:tc>
          <w:tcPr>
            <w:tcW w:w="1073" w:type="dxa"/>
          </w:tcPr>
          <w:p w14:paraId="69E9D34B"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r>
      <w:tr w:rsidR="0022086B" w:rsidRPr="00C04C4B" w14:paraId="34D713B1" w14:textId="77777777">
        <w:trPr>
          <w:trHeight w:val="450"/>
        </w:trPr>
        <w:tc>
          <w:tcPr>
            <w:tcW w:w="1667" w:type="dxa"/>
            <w:vMerge w:val="restart"/>
          </w:tcPr>
          <w:p w14:paraId="3E1C3235" w14:textId="77777777" w:rsidR="0022086B" w:rsidRPr="00C04C4B" w:rsidRDefault="0022086B">
            <w:pPr>
              <w:jc w:val="both"/>
              <w:rPr>
                <w:rFonts w:ascii="Garamond" w:eastAsia="Garamond" w:hAnsi="Garamond" w:cs="Garamond"/>
              </w:rPr>
            </w:pPr>
          </w:p>
          <w:p w14:paraId="5ABEE163" w14:textId="77777777" w:rsidR="0022086B" w:rsidRPr="00C04C4B" w:rsidRDefault="0065443B">
            <w:pPr>
              <w:jc w:val="both"/>
              <w:rPr>
                <w:rFonts w:ascii="Garamond" w:eastAsia="Garamond" w:hAnsi="Garamond" w:cs="Garamond"/>
              </w:rPr>
            </w:pPr>
            <w:r w:rsidRPr="00C04C4B">
              <w:rPr>
                <w:rFonts w:ascii="Garamond" w:eastAsia="Garamond" w:hAnsi="Garamond" w:cs="Garamond"/>
              </w:rPr>
              <w:t>Estados AELC</w:t>
            </w:r>
          </w:p>
        </w:tc>
        <w:tc>
          <w:tcPr>
            <w:tcW w:w="1674" w:type="dxa"/>
          </w:tcPr>
          <w:p w14:paraId="67D96D67" w14:textId="77777777" w:rsidR="0022086B" w:rsidRPr="00C04C4B" w:rsidRDefault="0065443B">
            <w:pPr>
              <w:jc w:val="both"/>
              <w:rPr>
                <w:rFonts w:ascii="Garamond" w:eastAsia="Garamond" w:hAnsi="Garamond" w:cs="Garamond"/>
              </w:rPr>
            </w:pPr>
            <w:r w:rsidRPr="00C04C4B">
              <w:rPr>
                <w:rFonts w:ascii="Garamond" w:eastAsia="Garamond" w:hAnsi="Garamond" w:cs="Garamond"/>
              </w:rPr>
              <w:t xml:space="preserve">Islandia, </w:t>
            </w:r>
            <w:proofErr w:type="spellStart"/>
            <w:r w:rsidRPr="00C04C4B">
              <w:rPr>
                <w:rFonts w:ascii="Garamond" w:eastAsia="Garamond" w:hAnsi="Garamond" w:cs="Garamond"/>
              </w:rPr>
              <w:t>Liech</w:t>
            </w:r>
            <w:proofErr w:type="spellEnd"/>
            <w:r w:rsidRPr="00C04C4B">
              <w:rPr>
                <w:rFonts w:ascii="Garamond" w:eastAsia="Garamond" w:hAnsi="Garamond" w:cs="Garamond"/>
              </w:rPr>
              <w:t>-</w:t>
            </w:r>
          </w:p>
          <w:p w14:paraId="1B46EB7A" w14:textId="77777777" w:rsidR="0022086B" w:rsidRPr="00C04C4B" w:rsidRDefault="0065443B">
            <w:pPr>
              <w:jc w:val="both"/>
              <w:rPr>
                <w:rFonts w:ascii="Garamond" w:eastAsia="Garamond" w:hAnsi="Garamond" w:cs="Garamond"/>
              </w:rPr>
            </w:pPr>
            <w:proofErr w:type="spellStart"/>
            <w:r w:rsidRPr="00C04C4B">
              <w:rPr>
                <w:rFonts w:ascii="Garamond" w:eastAsia="Garamond" w:hAnsi="Garamond" w:cs="Garamond"/>
              </w:rPr>
              <w:t>tenstein</w:t>
            </w:r>
            <w:proofErr w:type="spellEnd"/>
          </w:p>
        </w:tc>
        <w:tc>
          <w:tcPr>
            <w:tcW w:w="1170" w:type="dxa"/>
          </w:tcPr>
          <w:p w14:paraId="0AC45FBF" w14:textId="77777777" w:rsidR="0022086B" w:rsidRPr="00C04C4B" w:rsidRDefault="0065443B">
            <w:pPr>
              <w:jc w:val="both"/>
              <w:rPr>
                <w:rFonts w:ascii="Garamond" w:eastAsia="Garamond" w:hAnsi="Garamond" w:cs="Garamond"/>
              </w:rPr>
            </w:pPr>
            <w:r w:rsidRPr="00C04C4B">
              <w:rPr>
                <w:rFonts w:ascii="Garamond" w:eastAsia="Garamond" w:hAnsi="Garamond" w:cs="Garamond"/>
              </w:rPr>
              <w:t>SI</w:t>
            </w:r>
          </w:p>
        </w:tc>
        <w:tc>
          <w:tcPr>
            <w:tcW w:w="1437" w:type="dxa"/>
          </w:tcPr>
          <w:p w14:paraId="2A99CD3F"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1477" w:type="dxa"/>
          </w:tcPr>
          <w:p w14:paraId="6963BFD4"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896" w:type="dxa"/>
          </w:tcPr>
          <w:p w14:paraId="32C30EF8" w14:textId="77777777" w:rsidR="0022086B" w:rsidRPr="00C04C4B" w:rsidRDefault="0065443B">
            <w:pPr>
              <w:jc w:val="both"/>
              <w:rPr>
                <w:rFonts w:ascii="Garamond" w:eastAsia="Garamond" w:hAnsi="Garamond" w:cs="Garamond"/>
              </w:rPr>
            </w:pPr>
            <w:r w:rsidRPr="00C04C4B">
              <w:rPr>
                <w:rFonts w:ascii="Garamond" w:eastAsia="Garamond" w:hAnsi="Garamond" w:cs="Garamond"/>
              </w:rPr>
              <w:t>-</w:t>
            </w:r>
          </w:p>
        </w:tc>
        <w:tc>
          <w:tcPr>
            <w:tcW w:w="1073" w:type="dxa"/>
          </w:tcPr>
          <w:p w14:paraId="0022099A"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r>
      <w:tr w:rsidR="0022086B" w:rsidRPr="00C04C4B" w14:paraId="0C19A423" w14:textId="77777777">
        <w:trPr>
          <w:trHeight w:val="302"/>
        </w:trPr>
        <w:tc>
          <w:tcPr>
            <w:tcW w:w="1667" w:type="dxa"/>
            <w:vMerge/>
          </w:tcPr>
          <w:p w14:paraId="3A1B305D" w14:textId="77777777" w:rsidR="0022086B" w:rsidRPr="00C04C4B" w:rsidRDefault="0022086B">
            <w:pPr>
              <w:pBdr>
                <w:top w:val="nil"/>
                <w:left w:val="nil"/>
                <w:bottom w:val="nil"/>
                <w:right w:val="nil"/>
                <w:between w:val="nil"/>
              </w:pBdr>
              <w:spacing w:line="276" w:lineRule="auto"/>
              <w:rPr>
                <w:rFonts w:ascii="Garamond" w:eastAsia="Garamond" w:hAnsi="Garamond" w:cs="Garamond"/>
              </w:rPr>
            </w:pPr>
          </w:p>
        </w:tc>
        <w:tc>
          <w:tcPr>
            <w:tcW w:w="1674" w:type="dxa"/>
          </w:tcPr>
          <w:p w14:paraId="401B3774" w14:textId="77777777" w:rsidR="0022086B" w:rsidRPr="00C04C4B" w:rsidRDefault="0065443B">
            <w:pPr>
              <w:jc w:val="both"/>
              <w:rPr>
                <w:rFonts w:ascii="Garamond" w:eastAsia="Garamond" w:hAnsi="Garamond" w:cs="Garamond"/>
              </w:rPr>
            </w:pPr>
            <w:r w:rsidRPr="00C04C4B">
              <w:rPr>
                <w:rFonts w:ascii="Garamond" w:eastAsia="Garamond" w:hAnsi="Garamond" w:cs="Garamond"/>
              </w:rPr>
              <w:t>Noruega, Suiza</w:t>
            </w:r>
          </w:p>
        </w:tc>
        <w:tc>
          <w:tcPr>
            <w:tcW w:w="1170" w:type="dxa"/>
          </w:tcPr>
          <w:p w14:paraId="6F2B248B" w14:textId="77777777" w:rsidR="0022086B" w:rsidRPr="00C04C4B" w:rsidRDefault="0065443B">
            <w:pPr>
              <w:jc w:val="both"/>
              <w:rPr>
                <w:rFonts w:ascii="Garamond" w:eastAsia="Garamond" w:hAnsi="Garamond" w:cs="Garamond"/>
              </w:rPr>
            </w:pPr>
            <w:r w:rsidRPr="00C04C4B">
              <w:rPr>
                <w:rFonts w:ascii="Garamond" w:eastAsia="Garamond" w:hAnsi="Garamond" w:cs="Garamond"/>
              </w:rPr>
              <w:t>SI</w:t>
            </w:r>
          </w:p>
        </w:tc>
        <w:tc>
          <w:tcPr>
            <w:tcW w:w="1437" w:type="dxa"/>
          </w:tcPr>
          <w:p w14:paraId="6525ECAB"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1477" w:type="dxa"/>
          </w:tcPr>
          <w:p w14:paraId="7AF545D7"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896" w:type="dxa"/>
          </w:tcPr>
          <w:p w14:paraId="2E8554A0" w14:textId="77777777" w:rsidR="0022086B" w:rsidRPr="00C04C4B" w:rsidRDefault="0065443B">
            <w:pPr>
              <w:jc w:val="both"/>
              <w:rPr>
                <w:rFonts w:ascii="Garamond" w:eastAsia="Garamond" w:hAnsi="Garamond" w:cs="Garamond"/>
              </w:rPr>
            </w:pPr>
            <w:r w:rsidRPr="00C04C4B">
              <w:rPr>
                <w:rFonts w:ascii="Garamond" w:eastAsia="Garamond" w:hAnsi="Garamond" w:cs="Garamond"/>
              </w:rPr>
              <w:t>-</w:t>
            </w:r>
          </w:p>
        </w:tc>
        <w:tc>
          <w:tcPr>
            <w:tcW w:w="1073" w:type="dxa"/>
          </w:tcPr>
          <w:p w14:paraId="4C0C39FE"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r>
      <w:tr w:rsidR="0022086B" w:rsidRPr="00C04C4B" w14:paraId="754B4369" w14:textId="77777777">
        <w:trPr>
          <w:trHeight w:val="306"/>
        </w:trPr>
        <w:tc>
          <w:tcPr>
            <w:tcW w:w="3341" w:type="dxa"/>
            <w:gridSpan w:val="2"/>
          </w:tcPr>
          <w:p w14:paraId="4EBA848B" w14:textId="77777777" w:rsidR="0022086B" w:rsidRPr="00C04C4B" w:rsidRDefault="0065443B">
            <w:pPr>
              <w:jc w:val="both"/>
              <w:rPr>
                <w:rFonts w:ascii="Garamond" w:eastAsia="Garamond" w:hAnsi="Garamond" w:cs="Garamond"/>
              </w:rPr>
            </w:pPr>
            <w:r w:rsidRPr="00C04C4B">
              <w:rPr>
                <w:rFonts w:ascii="Garamond" w:eastAsia="Garamond" w:hAnsi="Garamond" w:cs="Garamond"/>
              </w:rPr>
              <w:t>México</w:t>
            </w:r>
          </w:p>
        </w:tc>
        <w:tc>
          <w:tcPr>
            <w:tcW w:w="1170" w:type="dxa"/>
          </w:tcPr>
          <w:p w14:paraId="647B9A51"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1437" w:type="dxa"/>
          </w:tcPr>
          <w:p w14:paraId="74DBFCC0" w14:textId="77777777" w:rsidR="0022086B" w:rsidRPr="00C04C4B" w:rsidRDefault="0065443B">
            <w:pPr>
              <w:jc w:val="both"/>
              <w:rPr>
                <w:rFonts w:ascii="Garamond" w:eastAsia="Garamond" w:hAnsi="Garamond" w:cs="Garamond"/>
              </w:rPr>
            </w:pPr>
            <w:r w:rsidRPr="00C04C4B">
              <w:rPr>
                <w:rFonts w:ascii="Garamond" w:eastAsia="Garamond" w:hAnsi="Garamond" w:cs="Garamond"/>
              </w:rPr>
              <w:t>SI</w:t>
            </w:r>
          </w:p>
        </w:tc>
        <w:tc>
          <w:tcPr>
            <w:tcW w:w="1477" w:type="dxa"/>
          </w:tcPr>
          <w:p w14:paraId="367C3E19"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896" w:type="dxa"/>
          </w:tcPr>
          <w:p w14:paraId="576711BC" w14:textId="77777777" w:rsidR="0022086B" w:rsidRPr="00C04C4B" w:rsidRDefault="0065443B">
            <w:pPr>
              <w:jc w:val="both"/>
              <w:rPr>
                <w:rFonts w:ascii="Garamond" w:eastAsia="Garamond" w:hAnsi="Garamond" w:cs="Garamond"/>
              </w:rPr>
            </w:pPr>
            <w:r w:rsidRPr="00C04C4B">
              <w:rPr>
                <w:rFonts w:ascii="Garamond" w:eastAsia="Garamond" w:hAnsi="Garamond" w:cs="Garamond"/>
              </w:rPr>
              <w:t>-</w:t>
            </w:r>
          </w:p>
        </w:tc>
        <w:tc>
          <w:tcPr>
            <w:tcW w:w="1073" w:type="dxa"/>
          </w:tcPr>
          <w:p w14:paraId="28202C2B"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r>
      <w:tr w:rsidR="0022086B" w:rsidRPr="00C04C4B" w14:paraId="277EC3F1" w14:textId="77777777">
        <w:trPr>
          <w:trHeight w:val="673"/>
        </w:trPr>
        <w:tc>
          <w:tcPr>
            <w:tcW w:w="1667" w:type="dxa"/>
            <w:vMerge w:val="restart"/>
          </w:tcPr>
          <w:p w14:paraId="63661285" w14:textId="77777777" w:rsidR="0022086B" w:rsidRPr="00C04C4B" w:rsidRDefault="0022086B">
            <w:pPr>
              <w:jc w:val="both"/>
              <w:rPr>
                <w:rFonts w:ascii="Garamond" w:eastAsia="Garamond" w:hAnsi="Garamond" w:cs="Garamond"/>
              </w:rPr>
            </w:pPr>
          </w:p>
          <w:p w14:paraId="5DE1706D" w14:textId="77777777" w:rsidR="0022086B" w:rsidRPr="00C04C4B" w:rsidRDefault="0022086B">
            <w:pPr>
              <w:jc w:val="both"/>
              <w:rPr>
                <w:rFonts w:ascii="Garamond" w:eastAsia="Garamond" w:hAnsi="Garamond" w:cs="Garamond"/>
              </w:rPr>
            </w:pPr>
          </w:p>
          <w:p w14:paraId="2CA2E5F5" w14:textId="77777777" w:rsidR="0022086B" w:rsidRPr="00C04C4B" w:rsidRDefault="0022086B">
            <w:pPr>
              <w:jc w:val="both"/>
              <w:rPr>
                <w:rFonts w:ascii="Garamond" w:eastAsia="Garamond" w:hAnsi="Garamond" w:cs="Garamond"/>
              </w:rPr>
            </w:pPr>
          </w:p>
          <w:p w14:paraId="005CB21D" w14:textId="77777777" w:rsidR="0022086B" w:rsidRPr="00C04C4B" w:rsidRDefault="0022086B">
            <w:pPr>
              <w:jc w:val="both"/>
              <w:rPr>
                <w:rFonts w:ascii="Garamond" w:eastAsia="Garamond" w:hAnsi="Garamond" w:cs="Garamond"/>
              </w:rPr>
            </w:pPr>
          </w:p>
          <w:p w14:paraId="7F29A84C" w14:textId="77777777" w:rsidR="0022086B" w:rsidRPr="00C04C4B" w:rsidRDefault="0022086B">
            <w:pPr>
              <w:jc w:val="both"/>
              <w:rPr>
                <w:rFonts w:ascii="Garamond" w:eastAsia="Garamond" w:hAnsi="Garamond" w:cs="Garamond"/>
              </w:rPr>
            </w:pPr>
          </w:p>
          <w:p w14:paraId="7C2A5A6D" w14:textId="77777777" w:rsidR="0022086B" w:rsidRPr="00C04C4B" w:rsidRDefault="0022086B">
            <w:pPr>
              <w:jc w:val="both"/>
              <w:rPr>
                <w:rFonts w:ascii="Garamond" w:eastAsia="Garamond" w:hAnsi="Garamond" w:cs="Garamond"/>
              </w:rPr>
            </w:pPr>
          </w:p>
          <w:p w14:paraId="7FDC08B2" w14:textId="77777777" w:rsidR="0022086B" w:rsidRPr="00C04C4B" w:rsidRDefault="0022086B">
            <w:pPr>
              <w:jc w:val="both"/>
              <w:rPr>
                <w:rFonts w:ascii="Garamond" w:eastAsia="Garamond" w:hAnsi="Garamond" w:cs="Garamond"/>
              </w:rPr>
            </w:pPr>
          </w:p>
          <w:p w14:paraId="374693AB" w14:textId="77777777" w:rsidR="0022086B" w:rsidRPr="00C04C4B" w:rsidRDefault="0065443B">
            <w:pPr>
              <w:jc w:val="both"/>
              <w:rPr>
                <w:rFonts w:ascii="Garamond" w:eastAsia="Garamond" w:hAnsi="Garamond" w:cs="Garamond"/>
              </w:rPr>
            </w:pPr>
            <w:r w:rsidRPr="00C04C4B">
              <w:rPr>
                <w:rFonts w:ascii="Garamond" w:eastAsia="Garamond" w:hAnsi="Garamond" w:cs="Garamond"/>
              </w:rPr>
              <w:t>Unión Europea</w:t>
            </w:r>
          </w:p>
        </w:tc>
        <w:tc>
          <w:tcPr>
            <w:tcW w:w="1674" w:type="dxa"/>
          </w:tcPr>
          <w:p w14:paraId="299BDC77" w14:textId="77777777" w:rsidR="0022086B" w:rsidRPr="00C04C4B" w:rsidRDefault="0065443B">
            <w:pPr>
              <w:jc w:val="both"/>
              <w:rPr>
                <w:rFonts w:ascii="Garamond" w:eastAsia="Garamond" w:hAnsi="Garamond" w:cs="Garamond"/>
              </w:rPr>
            </w:pPr>
            <w:r w:rsidRPr="00C04C4B">
              <w:rPr>
                <w:rFonts w:ascii="Garamond" w:eastAsia="Garamond" w:hAnsi="Garamond" w:cs="Garamond"/>
              </w:rPr>
              <w:t>Alemania, Austria, Bélgica, Bulgaria,</w:t>
            </w:r>
          </w:p>
          <w:p w14:paraId="5B6596CC" w14:textId="77777777" w:rsidR="0022086B" w:rsidRPr="00C04C4B" w:rsidRDefault="0065443B">
            <w:pPr>
              <w:jc w:val="both"/>
              <w:rPr>
                <w:rFonts w:ascii="Garamond" w:eastAsia="Garamond" w:hAnsi="Garamond" w:cs="Garamond"/>
              </w:rPr>
            </w:pPr>
            <w:r w:rsidRPr="00C04C4B">
              <w:rPr>
                <w:rFonts w:ascii="Garamond" w:eastAsia="Garamond" w:hAnsi="Garamond" w:cs="Garamond"/>
              </w:rPr>
              <w:t>Chipre, Dinamarca</w:t>
            </w:r>
          </w:p>
        </w:tc>
        <w:tc>
          <w:tcPr>
            <w:tcW w:w="1170" w:type="dxa"/>
          </w:tcPr>
          <w:p w14:paraId="6356FA95" w14:textId="77777777" w:rsidR="0022086B" w:rsidRPr="00C04C4B" w:rsidRDefault="0065443B">
            <w:pPr>
              <w:jc w:val="both"/>
              <w:rPr>
                <w:rFonts w:ascii="Garamond" w:eastAsia="Garamond" w:hAnsi="Garamond" w:cs="Garamond"/>
              </w:rPr>
            </w:pPr>
            <w:r w:rsidRPr="00C04C4B">
              <w:rPr>
                <w:rFonts w:ascii="Garamond" w:eastAsia="Garamond" w:hAnsi="Garamond" w:cs="Garamond"/>
              </w:rPr>
              <w:t>SI</w:t>
            </w:r>
          </w:p>
        </w:tc>
        <w:tc>
          <w:tcPr>
            <w:tcW w:w="1437" w:type="dxa"/>
          </w:tcPr>
          <w:p w14:paraId="1AD8043E"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1477" w:type="dxa"/>
          </w:tcPr>
          <w:p w14:paraId="6C277764"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896" w:type="dxa"/>
          </w:tcPr>
          <w:p w14:paraId="411C325C" w14:textId="77777777" w:rsidR="0022086B" w:rsidRPr="00C04C4B" w:rsidRDefault="0065443B">
            <w:pPr>
              <w:jc w:val="both"/>
              <w:rPr>
                <w:rFonts w:ascii="Garamond" w:eastAsia="Garamond" w:hAnsi="Garamond" w:cs="Garamond"/>
              </w:rPr>
            </w:pPr>
            <w:r w:rsidRPr="00C04C4B">
              <w:rPr>
                <w:rFonts w:ascii="Garamond" w:eastAsia="Garamond" w:hAnsi="Garamond" w:cs="Garamond"/>
              </w:rPr>
              <w:t>-</w:t>
            </w:r>
          </w:p>
        </w:tc>
        <w:tc>
          <w:tcPr>
            <w:tcW w:w="1073" w:type="dxa"/>
          </w:tcPr>
          <w:p w14:paraId="71C4D726"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r>
      <w:tr w:rsidR="0022086B" w:rsidRPr="00C04C4B" w14:paraId="10052C84" w14:textId="77777777">
        <w:trPr>
          <w:trHeight w:val="1126"/>
        </w:trPr>
        <w:tc>
          <w:tcPr>
            <w:tcW w:w="1667" w:type="dxa"/>
            <w:vMerge/>
          </w:tcPr>
          <w:p w14:paraId="452FC732" w14:textId="77777777" w:rsidR="0022086B" w:rsidRPr="00C04C4B" w:rsidRDefault="0022086B">
            <w:pPr>
              <w:pBdr>
                <w:top w:val="nil"/>
                <w:left w:val="nil"/>
                <w:bottom w:val="nil"/>
                <w:right w:val="nil"/>
                <w:between w:val="nil"/>
              </w:pBdr>
              <w:spacing w:line="276" w:lineRule="auto"/>
              <w:rPr>
                <w:rFonts w:ascii="Garamond" w:eastAsia="Garamond" w:hAnsi="Garamond" w:cs="Garamond"/>
              </w:rPr>
            </w:pPr>
          </w:p>
        </w:tc>
        <w:tc>
          <w:tcPr>
            <w:tcW w:w="1674" w:type="dxa"/>
          </w:tcPr>
          <w:p w14:paraId="54F9B06A" w14:textId="77777777" w:rsidR="0022086B" w:rsidRPr="00C04C4B" w:rsidRDefault="0065443B">
            <w:pPr>
              <w:jc w:val="both"/>
              <w:rPr>
                <w:rFonts w:ascii="Garamond" w:eastAsia="Garamond" w:hAnsi="Garamond" w:cs="Garamond"/>
              </w:rPr>
            </w:pPr>
            <w:r w:rsidRPr="00C04C4B">
              <w:rPr>
                <w:rFonts w:ascii="Garamond" w:eastAsia="Garamond" w:hAnsi="Garamond" w:cs="Garamond"/>
              </w:rPr>
              <w:t xml:space="preserve">Eslovaquia, </w:t>
            </w:r>
            <w:proofErr w:type="spellStart"/>
            <w:r w:rsidRPr="00C04C4B">
              <w:rPr>
                <w:rFonts w:ascii="Garamond" w:eastAsia="Garamond" w:hAnsi="Garamond" w:cs="Garamond"/>
              </w:rPr>
              <w:t>Eslo</w:t>
            </w:r>
            <w:proofErr w:type="spellEnd"/>
            <w:r w:rsidRPr="00C04C4B">
              <w:rPr>
                <w:rFonts w:ascii="Garamond" w:eastAsia="Garamond" w:hAnsi="Garamond" w:cs="Garamond"/>
              </w:rPr>
              <w:t>-</w:t>
            </w:r>
          </w:p>
          <w:p w14:paraId="09F1B7E4" w14:textId="77777777" w:rsidR="0022086B" w:rsidRPr="00C04C4B" w:rsidRDefault="0065443B">
            <w:pPr>
              <w:jc w:val="both"/>
              <w:rPr>
                <w:rFonts w:ascii="Garamond" w:eastAsia="Garamond" w:hAnsi="Garamond" w:cs="Garamond"/>
              </w:rPr>
            </w:pPr>
            <w:r w:rsidRPr="00C04C4B">
              <w:rPr>
                <w:rFonts w:ascii="Garamond" w:eastAsia="Garamond" w:hAnsi="Garamond" w:cs="Garamond"/>
              </w:rPr>
              <w:t>venia, España, Estonia, Finlandia, Francia, Grecia,</w:t>
            </w:r>
          </w:p>
          <w:p w14:paraId="19285017" w14:textId="77777777" w:rsidR="0022086B" w:rsidRPr="00C04C4B" w:rsidRDefault="0065443B">
            <w:pPr>
              <w:jc w:val="both"/>
              <w:rPr>
                <w:rFonts w:ascii="Garamond" w:eastAsia="Garamond" w:hAnsi="Garamond" w:cs="Garamond"/>
              </w:rPr>
            </w:pPr>
            <w:r w:rsidRPr="00C04C4B">
              <w:rPr>
                <w:rFonts w:ascii="Garamond" w:eastAsia="Garamond" w:hAnsi="Garamond" w:cs="Garamond"/>
              </w:rPr>
              <w:t>Hungría</w:t>
            </w:r>
          </w:p>
        </w:tc>
        <w:tc>
          <w:tcPr>
            <w:tcW w:w="1170" w:type="dxa"/>
          </w:tcPr>
          <w:p w14:paraId="3A9546EA" w14:textId="77777777" w:rsidR="0022086B" w:rsidRPr="00C04C4B" w:rsidRDefault="0022086B">
            <w:pPr>
              <w:jc w:val="both"/>
              <w:rPr>
                <w:rFonts w:ascii="Garamond" w:eastAsia="Garamond" w:hAnsi="Garamond" w:cs="Garamond"/>
              </w:rPr>
            </w:pPr>
          </w:p>
          <w:p w14:paraId="0BCE6091" w14:textId="77777777" w:rsidR="0022086B" w:rsidRPr="00C04C4B" w:rsidRDefault="0065443B">
            <w:pPr>
              <w:jc w:val="both"/>
              <w:rPr>
                <w:rFonts w:ascii="Garamond" w:eastAsia="Garamond" w:hAnsi="Garamond" w:cs="Garamond"/>
              </w:rPr>
            </w:pPr>
            <w:r w:rsidRPr="00C04C4B">
              <w:rPr>
                <w:rFonts w:ascii="Garamond" w:eastAsia="Garamond" w:hAnsi="Garamond" w:cs="Garamond"/>
              </w:rPr>
              <w:t>SI</w:t>
            </w:r>
          </w:p>
        </w:tc>
        <w:tc>
          <w:tcPr>
            <w:tcW w:w="1437" w:type="dxa"/>
          </w:tcPr>
          <w:p w14:paraId="075B6130" w14:textId="77777777" w:rsidR="0022086B" w:rsidRPr="00C04C4B" w:rsidRDefault="0022086B">
            <w:pPr>
              <w:jc w:val="both"/>
              <w:rPr>
                <w:rFonts w:ascii="Garamond" w:eastAsia="Garamond" w:hAnsi="Garamond" w:cs="Garamond"/>
              </w:rPr>
            </w:pPr>
          </w:p>
          <w:p w14:paraId="57AC1EFD"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1477" w:type="dxa"/>
          </w:tcPr>
          <w:p w14:paraId="012DC4BA" w14:textId="77777777" w:rsidR="0022086B" w:rsidRPr="00C04C4B" w:rsidRDefault="0022086B">
            <w:pPr>
              <w:jc w:val="both"/>
              <w:rPr>
                <w:rFonts w:ascii="Garamond" w:eastAsia="Garamond" w:hAnsi="Garamond" w:cs="Garamond"/>
              </w:rPr>
            </w:pPr>
          </w:p>
          <w:p w14:paraId="53E0CDDD"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896" w:type="dxa"/>
          </w:tcPr>
          <w:p w14:paraId="72467D43" w14:textId="77777777" w:rsidR="0022086B" w:rsidRPr="00C04C4B" w:rsidRDefault="0022086B">
            <w:pPr>
              <w:jc w:val="both"/>
              <w:rPr>
                <w:rFonts w:ascii="Garamond" w:eastAsia="Garamond" w:hAnsi="Garamond" w:cs="Garamond"/>
              </w:rPr>
            </w:pPr>
          </w:p>
          <w:p w14:paraId="154060D0" w14:textId="77777777" w:rsidR="0022086B" w:rsidRPr="00C04C4B" w:rsidRDefault="0065443B">
            <w:pPr>
              <w:jc w:val="both"/>
              <w:rPr>
                <w:rFonts w:ascii="Garamond" w:eastAsia="Garamond" w:hAnsi="Garamond" w:cs="Garamond"/>
              </w:rPr>
            </w:pPr>
            <w:r w:rsidRPr="00C04C4B">
              <w:rPr>
                <w:rFonts w:ascii="Garamond" w:eastAsia="Garamond" w:hAnsi="Garamond" w:cs="Garamond"/>
              </w:rPr>
              <w:t>-</w:t>
            </w:r>
          </w:p>
        </w:tc>
        <w:tc>
          <w:tcPr>
            <w:tcW w:w="1073" w:type="dxa"/>
          </w:tcPr>
          <w:p w14:paraId="61CECD93" w14:textId="77777777" w:rsidR="0022086B" w:rsidRPr="00C04C4B" w:rsidRDefault="0022086B">
            <w:pPr>
              <w:jc w:val="both"/>
              <w:rPr>
                <w:rFonts w:ascii="Garamond" w:eastAsia="Garamond" w:hAnsi="Garamond" w:cs="Garamond"/>
              </w:rPr>
            </w:pPr>
          </w:p>
          <w:p w14:paraId="55B15B37"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r>
      <w:tr w:rsidR="0022086B" w:rsidRPr="00C04C4B" w14:paraId="08074008" w14:textId="77777777">
        <w:trPr>
          <w:trHeight w:val="1797"/>
        </w:trPr>
        <w:tc>
          <w:tcPr>
            <w:tcW w:w="1667" w:type="dxa"/>
            <w:vMerge/>
          </w:tcPr>
          <w:p w14:paraId="31898E22" w14:textId="77777777" w:rsidR="0022086B" w:rsidRPr="00C04C4B" w:rsidRDefault="0022086B">
            <w:pPr>
              <w:pBdr>
                <w:top w:val="nil"/>
                <w:left w:val="nil"/>
                <w:bottom w:val="nil"/>
                <w:right w:val="nil"/>
                <w:between w:val="nil"/>
              </w:pBdr>
              <w:spacing w:line="276" w:lineRule="auto"/>
              <w:rPr>
                <w:rFonts w:ascii="Garamond" w:eastAsia="Garamond" w:hAnsi="Garamond" w:cs="Garamond"/>
              </w:rPr>
            </w:pPr>
          </w:p>
        </w:tc>
        <w:tc>
          <w:tcPr>
            <w:tcW w:w="1674" w:type="dxa"/>
          </w:tcPr>
          <w:p w14:paraId="051E8173" w14:textId="77777777" w:rsidR="0022086B" w:rsidRPr="00C04C4B" w:rsidRDefault="0065443B">
            <w:pPr>
              <w:jc w:val="both"/>
              <w:rPr>
                <w:rFonts w:ascii="Garamond" w:eastAsia="Garamond" w:hAnsi="Garamond" w:cs="Garamond"/>
              </w:rPr>
            </w:pPr>
            <w:r w:rsidRPr="00C04C4B">
              <w:rPr>
                <w:rFonts w:ascii="Garamond" w:eastAsia="Garamond" w:hAnsi="Garamond" w:cs="Garamond"/>
              </w:rPr>
              <w:t>Irlanda, Letonia, Lituania, Luxemburgo, Malta, Países Bajos, Polonia, Portugal, Reino Unido, República</w:t>
            </w:r>
          </w:p>
          <w:p w14:paraId="7E58DD1C" w14:textId="77777777" w:rsidR="0022086B" w:rsidRPr="00C04C4B" w:rsidRDefault="0065443B">
            <w:pPr>
              <w:jc w:val="both"/>
              <w:rPr>
                <w:rFonts w:ascii="Garamond" w:eastAsia="Garamond" w:hAnsi="Garamond" w:cs="Garamond"/>
              </w:rPr>
            </w:pPr>
            <w:r w:rsidRPr="00C04C4B">
              <w:rPr>
                <w:rFonts w:ascii="Garamond" w:eastAsia="Garamond" w:hAnsi="Garamond" w:cs="Garamond"/>
              </w:rPr>
              <w:t>Checa, Rumania, Suecia</w:t>
            </w:r>
          </w:p>
        </w:tc>
        <w:tc>
          <w:tcPr>
            <w:tcW w:w="1170" w:type="dxa"/>
          </w:tcPr>
          <w:p w14:paraId="32276E30" w14:textId="77777777" w:rsidR="0022086B" w:rsidRPr="00C04C4B" w:rsidRDefault="0022086B">
            <w:pPr>
              <w:jc w:val="both"/>
              <w:rPr>
                <w:rFonts w:ascii="Garamond" w:eastAsia="Garamond" w:hAnsi="Garamond" w:cs="Garamond"/>
              </w:rPr>
            </w:pPr>
          </w:p>
          <w:p w14:paraId="2DBAFA62" w14:textId="77777777" w:rsidR="0022086B" w:rsidRPr="00C04C4B" w:rsidRDefault="0022086B">
            <w:pPr>
              <w:jc w:val="both"/>
              <w:rPr>
                <w:rFonts w:ascii="Garamond" w:eastAsia="Garamond" w:hAnsi="Garamond" w:cs="Garamond"/>
              </w:rPr>
            </w:pPr>
          </w:p>
          <w:p w14:paraId="79245E5C" w14:textId="77777777" w:rsidR="0022086B" w:rsidRPr="00C04C4B" w:rsidRDefault="0022086B">
            <w:pPr>
              <w:jc w:val="both"/>
              <w:rPr>
                <w:rFonts w:ascii="Garamond" w:eastAsia="Garamond" w:hAnsi="Garamond" w:cs="Garamond"/>
              </w:rPr>
            </w:pPr>
          </w:p>
          <w:p w14:paraId="0344EAAF" w14:textId="77777777" w:rsidR="0022086B" w:rsidRPr="00C04C4B" w:rsidRDefault="0065443B">
            <w:pPr>
              <w:jc w:val="both"/>
              <w:rPr>
                <w:rFonts w:ascii="Garamond" w:eastAsia="Garamond" w:hAnsi="Garamond" w:cs="Garamond"/>
              </w:rPr>
            </w:pPr>
            <w:r w:rsidRPr="00C04C4B">
              <w:rPr>
                <w:rFonts w:ascii="Garamond" w:eastAsia="Garamond" w:hAnsi="Garamond" w:cs="Garamond"/>
              </w:rPr>
              <w:t>SI</w:t>
            </w:r>
          </w:p>
        </w:tc>
        <w:tc>
          <w:tcPr>
            <w:tcW w:w="1437" w:type="dxa"/>
          </w:tcPr>
          <w:p w14:paraId="05EBE769" w14:textId="77777777" w:rsidR="0022086B" w:rsidRPr="00C04C4B" w:rsidRDefault="0022086B">
            <w:pPr>
              <w:jc w:val="both"/>
              <w:rPr>
                <w:rFonts w:ascii="Garamond" w:eastAsia="Garamond" w:hAnsi="Garamond" w:cs="Garamond"/>
              </w:rPr>
            </w:pPr>
          </w:p>
          <w:p w14:paraId="46196497" w14:textId="77777777" w:rsidR="0022086B" w:rsidRPr="00C04C4B" w:rsidRDefault="0022086B">
            <w:pPr>
              <w:jc w:val="both"/>
              <w:rPr>
                <w:rFonts w:ascii="Garamond" w:eastAsia="Garamond" w:hAnsi="Garamond" w:cs="Garamond"/>
              </w:rPr>
            </w:pPr>
          </w:p>
          <w:p w14:paraId="5734BD3A" w14:textId="77777777" w:rsidR="0022086B" w:rsidRPr="00C04C4B" w:rsidRDefault="0022086B">
            <w:pPr>
              <w:jc w:val="both"/>
              <w:rPr>
                <w:rFonts w:ascii="Garamond" w:eastAsia="Garamond" w:hAnsi="Garamond" w:cs="Garamond"/>
              </w:rPr>
            </w:pPr>
          </w:p>
          <w:p w14:paraId="1D4C3676"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1477" w:type="dxa"/>
          </w:tcPr>
          <w:p w14:paraId="0FD1FEEC" w14:textId="77777777" w:rsidR="0022086B" w:rsidRPr="00C04C4B" w:rsidRDefault="0022086B">
            <w:pPr>
              <w:jc w:val="both"/>
              <w:rPr>
                <w:rFonts w:ascii="Garamond" w:eastAsia="Garamond" w:hAnsi="Garamond" w:cs="Garamond"/>
              </w:rPr>
            </w:pPr>
          </w:p>
          <w:p w14:paraId="062D641A" w14:textId="77777777" w:rsidR="0022086B" w:rsidRPr="00C04C4B" w:rsidRDefault="0022086B">
            <w:pPr>
              <w:jc w:val="both"/>
              <w:rPr>
                <w:rFonts w:ascii="Garamond" w:eastAsia="Garamond" w:hAnsi="Garamond" w:cs="Garamond"/>
              </w:rPr>
            </w:pPr>
          </w:p>
          <w:p w14:paraId="1665EE0C" w14:textId="77777777" w:rsidR="0022086B" w:rsidRPr="00C04C4B" w:rsidRDefault="0022086B">
            <w:pPr>
              <w:jc w:val="both"/>
              <w:rPr>
                <w:rFonts w:ascii="Garamond" w:eastAsia="Garamond" w:hAnsi="Garamond" w:cs="Garamond"/>
              </w:rPr>
            </w:pPr>
          </w:p>
          <w:p w14:paraId="5F6A0977"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896" w:type="dxa"/>
          </w:tcPr>
          <w:p w14:paraId="01FA0289" w14:textId="77777777" w:rsidR="0022086B" w:rsidRPr="00C04C4B" w:rsidRDefault="0022086B">
            <w:pPr>
              <w:jc w:val="both"/>
              <w:rPr>
                <w:rFonts w:ascii="Garamond" w:eastAsia="Garamond" w:hAnsi="Garamond" w:cs="Garamond"/>
              </w:rPr>
            </w:pPr>
          </w:p>
          <w:p w14:paraId="6F3FEF40" w14:textId="77777777" w:rsidR="0022086B" w:rsidRPr="00C04C4B" w:rsidRDefault="0022086B">
            <w:pPr>
              <w:jc w:val="both"/>
              <w:rPr>
                <w:rFonts w:ascii="Garamond" w:eastAsia="Garamond" w:hAnsi="Garamond" w:cs="Garamond"/>
              </w:rPr>
            </w:pPr>
          </w:p>
          <w:p w14:paraId="02CA4DE9" w14:textId="77777777" w:rsidR="0022086B" w:rsidRPr="00C04C4B" w:rsidRDefault="0022086B">
            <w:pPr>
              <w:jc w:val="both"/>
              <w:rPr>
                <w:rFonts w:ascii="Garamond" w:eastAsia="Garamond" w:hAnsi="Garamond" w:cs="Garamond"/>
              </w:rPr>
            </w:pPr>
          </w:p>
          <w:p w14:paraId="261B9E2A" w14:textId="77777777" w:rsidR="0022086B" w:rsidRPr="00C04C4B" w:rsidRDefault="0065443B">
            <w:pPr>
              <w:jc w:val="both"/>
              <w:rPr>
                <w:rFonts w:ascii="Garamond" w:eastAsia="Garamond" w:hAnsi="Garamond" w:cs="Garamond"/>
              </w:rPr>
            </w:pPr>
            <w:r w:rsidRPr="00C04C4B">
              <w:rPr>
                <w:rFonts w:ascii="Garamond" w:eastAsia="Garamond" w:hAnsi="Garamond" w:cs="Garamond"/>
              </w:rPr>
              <w:t>-</w:t>
            </w:r>
          </w:p>
        </w:tc>
        <w:tc>
          <w:tcPr>
            <w:tcW w:w="1073" w:type="dxa"/>
          </w:tcPr>
          <w:p w14:paraId="0C8F85C8" w14:textId="77777777" w:rsidR="0022086B" w:rsidRPr="00C04C4B" w:rsidRDefault="0022086B">
            <w:pPr>
              <w:jc w:val="both"/>
              <w:rPr>
                <w:rFonts w:ascii="Garamond" w:eastAsia="Garamond" w:hAnsi="Garamond" w:cs="Garamond"/>
              </w:rPr>
            </w:pPr>
          </w:p>
          <w:p w14:paraId="790C0FF0" w14:textId="77777777" w:rsidR="0022086B" w:rsidRPr="00C04C4B" w:rsidRDefault="0022086B">
            <w:pPr>
              <w:jc w:val="both"/>
              <w:rPr>
                <w:rFonts w:ascii="Garamond" w:eastAsia="Garamond" w:hAnsi="Garamond" w:cs="Garamond"/>
              </w:rPr>
            </w:pPr>
          </w:p>
          <w:p w14:paraId="5ECC5290" w14:textId="77777777" w:rsidR="0022086B" w:rsidRPr="00C04C4B" w:rsidRDefault="0022086B">
            <w:pPr>
              <w:jc w:val="both"/>
              <w:rPr>
                <w:rFonts w:ascii="Garamond" w:eastAsia="Garamond" w:hAnsi="Garamond" w:cs="Garamond"/>
              </w:rPr>
            </w:pPr>
          </w:p>
          <w:p w14:paraId="5F883933"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r>
      <w:tr w:rsidR="0022086B" w:rsidRPr="00C04C4B" w14:paraId="100F586F" w14:textId="77777777">
        <w:trPr>
          <w:trHeight w:val="448"/>
        </w:trPr>
        <w:tc>
          <w:tcPr>
            <w:tcW w:w="1667" w:type="dxa"/>
          </w:tcPr>
          <w:p w14:paraId="193038F8" w14:textId="77777777" w:rsidR="0022086B" w:rsidRPr="00C04C4B" w:rsidRDefault="0065443B">
            <w:pPr>
              <w:jc w:val="both"/>
              <w:rPr>
                <w:rFonts w:ascii="Garamond" w:eastAsia="Garamond" w:hAnsi="Garamond" w:cs="Garamond"/>
              </w:rPr>
            </w:pPr>
            <w:r w:rsidRPr="00C04C4B">
              <w:rPr>
                <w:rFonts w:ascii="Garamond" w:eastAsia="Garamond" w:hAnsi="Garamond" w:cs="Garamond"/>
              </w:rPr>
              <w:t xml:space="preserve">Comunidad </w:t>
            </w:r>
            <w:proofErr w:type="spellStart"/>
            <w:r w:rsidRPr="00C04C4B">
              <w:rPr>
                <w:rFonts w:ascii="Garamond" w:eastAsia="Garamond" w:hAnsi="Garamond" w:cs="Garamond"/>
              </w:rPr>
              <w:t>An</w:t>
            </w:r>
            <w:proofErr w:type="spellEnd"/>
            <w:r w:rsidRPr="00C04C4B">
              <w:rPr>
                <w:rFonts w:ascii="Garamond" w:eastAsia="Garamond" w:hAnsi="Garamond" w:cs="Garamond"/>
              </w:rPr>
              <w:t>-</w:t>
            </w:r>
          </w:p>
          <w:p w14:paraId="6A062F33" w14:textId="77777777" w:rsidR="0022086B" w:rsidRPr="00C04C4B" w:rsidRDefault="0065443B">
            <w:pPr>
              <w:jc w:val="both"/>
              <w:rPr>
                <w:rFonts w:ascii="Garamond" w:eastAsia="Garamond" w:hAnsi="Garamond" w:cs="Garamond"/>
              </w:rPr>
            </w:pPr>
            <w:r w:rsidRPr="00C04C4B">
              <w:rPr>
                <w:rFonts w:ascii="Garamond" w:eastAsia="Garamond" w:hAnsi="Garamond" w:cs="Garamond"/>
              </w:rPr>
              <w:t>dina de Naciones</w:t>
            </w:r>
          </w:p>
        </w:tc>
        <w:tc>
          <w:tcPr>
            <w:tcW w:w="1674" w:type="dxa"/>
          </w:tcPr>
          <w:p w14:paraId="0A4D9EB5" w14:textId="77777777" w:rsidR="0022086B" w:rsidRPr="00C04C4B" w:rsidRDefault="0065443B">
            <w:pPr>
              <w:jc w:val="both"/>
              <w:rPr>
                <w:rFonts w:ascii="Garamond" w:eastAsia="Garamond" w:hAnsi="Garamond" w:cs="Garamond"/>
              </w:rPr>
            </w:pPr>
            <w:r w:rsidRPr="00C04C4B">
              <w:rPr>
                <w:rFonts w:ascii="Garamond" w:eastAsia="Garamond" w:hAnsi="Garamond" w:cs="Garamond"/>
              </w:rPr>
              <w:t>Bolivia, Ecuador,</w:t>
            </w:r>
          </w:p>
          <w:p w14:paraId="5ECE3DCC" w14:textId="77777777" w:rsidR="0022086B" w:rsidRPr="00C04C4B" w:rsidRDefault="0065443B">
            <w:pPr>
              <w:jc w:val="both"/>
              <w:rPr>
                <w:rFonts w:ascii="Garamond" w:eastAsia="Garamond" w:hAnsi="Garamond" w:cs="Garamond"/>
              </w:rPr>
            </w:pPr>
            <w:r w:rsidRPr="00C04C4B">
              <w:rPr>
                <w:rFonts w:ascii="Garamond" w:eastAsia="Garamond" w:hAnsi="Garamond" w:cs="Garamond"/>
              </w:rPr>
              <w:t>Perú, Venezuela</w:t>
            </w:r>
          </w:p>
        </w:tc>
        <w:tc>
          <w:tcPr>
            <w:tcW w:w="1170" w:type="dxa"/>
          </w:tcPr>
          <w:p w14:paraId="2925B638" w14:textId="77777777" w:rsidR="0022086B" w:rsidRPr="00C04C4B" w:rsidRDefault="0065443B">
            <w:pPr>
              <w:jc w:val="both"/>
              <w:rPr>
                <w:rFonts w:ascii="Garamond" w:eastAsia="Garamond" w:hAnsi="Garamond" w:cs="Garamond"/>
              </w:rPr>
            </w:pPr>
            <w:r w:rsidRPr="00C04C4B">
              <w:rPr>
                <w:rFonts w:ascii="Garamond" w:eastAsia="Garamond" w:hAnsi="Garamond" w:cs="Garamond"/>
              </w:rPr>
              <w:t>SI</w:t>
            </w:r>
          </w:p>
        </w:tc>
        <w:tc>
          <w:tcPr>
            <w:tcW w:w="1437" w:type="dxa"/>
          </w:tcPr>
          <w:p w14:paraId="26CC4688" w14:textId="77777777" w:rsidR="0022086B" w:rsidRPr="00C04C4B" w:rsidRDefault="0065443B">
            <w:pPr>
              <w:jc w:val="both"/>
              <w:rPr>
                <w:rFonts w:ascii="Garamond" w:eastAsia="Garamond" w:hAnsi="Garamond" w:cs="Garamond"/>
              </w:rPr>
            </w:pPr>
            <w:r w:rsidRPr="00C04C4B">
              <w:rPr>
                <w:rFonts w:ascii="Garamond" w:eastAsia="Garamond" w:hAnsi="Garamond" w:cs="Garamond"/>
              </w:rPr>
              <w:t>SI</w:t>
            </w:r>
          </w:p>
        </w:tc>
        <w:tc>
          <w:tcPr>
            <w:tcW w:w="1477" w:type="dxa"/>
          </w:tcPr>
          <w:p w14:paraId="05BA8E20"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896" w:type="dxa"/>
          </w:tcPr>
          <w:p w14:paraId="60EB165F" w14:textId="77777777" w:rsidR="0022086B" w:rsidRPr="00C04C4B" w:rsidRDefault="0065443B">
            <w:pPr>
              <w:jc w:val="both"/>
              <w:rPr>
                <w:rFonts w:ascii="Garamond" w:eastAsia="Garamond" w:hAnsi="Garamond" w:cs="Garamond"/>
              </w:rPr>
            </w:pPr>
            <w:r w:rsidRPr="00C04C4B">
              <w:rPr>
                <w:rFonts w:ascii="Garamond" w:eastAsia="Garamond" w:hAnsi="Garamond" w:cs="Garamond"/>
              </w:rPr>
              <w:t>-</w:t>
            </w:r>
          </w:p>
        </w:tc>
        <w:tc>
          <w:tcPr>
            <w:tcW w:w="1073" w:type="dxa"/>
          </w:tcPr>
          <w:p w14:paraId="35C635EB" w14:textId="77777777" w:rsidR="0022086B" w:rsidRPr="00C04C4B" w:rsidRDefault="0065443B">
            <w:pPr>
              <w:jc w:val="both"/>
              <w:rPr>
                <w:rFonts w:ascii="Garamond" w:eastAsia="Garamond" w:hAnsi="Garamond" w:cs="Garamond"/>
              </w:rPr>
            </w:pPr>
            <w:r w:rsidRPr="00C04C4B">
              <w:rPr>
                <w:rFonts w:ascii="Garamond" w:eastAsia="Garamond" w:hAnsi="Garamond" w:cs="Garamond"/>
              </w:rPr>
              <w:t>SI</w:t>
            </w:r>
          </w:p>
        </w:tc>
      </w:tr>
      <w:tr w:rsidR="0022086B" w:rsidRPr="00C04C4B" w14:paraId="59355A1B" w14:textId="77777777">
        <w:trPr>
          <w:trHeight w:val="305"/>
        </w:trPr>
        <w:tc>
          <w:tcPr>
            <w:tcW w:w="3341" w:type="dxa"/>
            <w:gridSpan w:val="2"/>
          </w:tcPr>
          <w:p w14:paraId="37C0488E" w14:textId="77777777" w:rsidR="0022086B" w:rsidRPr="00C04C4B" w:rsidRDefault="0065443B">
            <w:pPr>
              <w:jc w:val="both"/>
              <w:rPr>
                <w:rFonts w:ascii="Garamond" w:eastAsia="Garamond" w:hAnsi="Garamond" w:cs="Garamond"/>
              </w:rPr>
            </w:pPr>
            <w:r w:rsidRPr="00C04C4B">
              <w:rPr>
                <w:rFonts w:ascii="Garamond" w:eastAsia="Garamond" w:hAnsi="Garamond" w:cs="Garamond"/>
              </w:rPr>
              <w:t>Corea</w:t>
            </w:r>
          </w:p>
        </w:tc>
        <w:tc>
          <w:tcPr>
            <w:tcW w:w="1170" w:type="dxa"/>
          </w:tcPr>
          <w:p w14:paraId="66AC4C32"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1437" w:type="dxa"/>
          </w:tcPr>
          <w:p w14:paraId="7AF4077B" w14:textId="77777777" w:rsidR="0022086B" w:rsidRPr="00C04C4B" w:rsidRDefault="0065443B">
            <w:pPr>
              <w:jc w:val="both"/>
              <w:rPr>
                <w:rFonts w:ascii="Garamond" w:eastAsia="Garamond" w:hAnsi="Garamond" w:cs="Garamond"/>
              </w:rPr>
            </w:pPr>
            <w:r w:rsidRPr="00C04C4B">
              <w:rPr>
                <w:rFonts w:ascii="Garamond" w:eastAsia="Garamond" w:hAnsi="Garamond" w:cs="Garamond"/>
              </w:rPr>
              <w:t>SI</w:t>
            </w:r>
          </w:p>
        </w:tc>
        <w:tc>
          <w:tcPr>
            <w:tcW w:w="1477" w:type="dxa"/>
          </w:tcPr>
          <w:p w14:paraId="7ECFFA68"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c>
          <w:tcPr>
            <w:tcW w:w="896" w:type="dxa"/>
          </w:tcPr>
          <w:p w14:paraId="0BC66A63" w14:textId="77777777" w:rsidR="0022086B" w:rsidRPr="00C04C4B" w:rsidRDefault="0065443B">
            <w:pPr>
              <w:jc w:val="both"/>
              <w:rPr>
                <w:rFonts w:ascii="Garamond" w:eastAsia="Garamond" w:hAnsi="Garamond" w:cs="Garamond"/>
              </w:rPr>
            </w:pPr>
            <w:r w:rsidRPr="00C04C4B">
              <w:rPr>
                <w:rFonts w:ascii="Garamond" w:eastAsia="Garamond" w:hAnsi="Garamond" w:cs="Garamond"/>
              </w:rPr>
              <w:t>-</w:t>
            </w:r>
          </w:p>
        </w:tc>
        <w:tc>
          <w:tcPr>
            <w:tcW w:w="1073" w:type="dxa"/>
          </w:tcPr>
          <w:p w14:paraId="55EBFC27" w14:textId="77777777" w:rsidR="0022086B" w:rsidRPr="00C04C4B" w:rsidRDefault="0065443B">
            <w:pPr>
              <w:jc w:val="both"/>
              <w:rPr>
                <w:rFonts w:ascii="Garamond" w:eastAsia="Garamond" w:hAnsi="Garamond" w:cs="Garamond"/>
              </w:rPr>
            </w:pPr>
            <w:r w:rsidRPr="00C04C4B">
              <w:rPr>
                <w:rFonts w:ascii="Garamond" w:eastAsia="Garamond" w:hAnsi="Garamond" w:cs="Garamond"/>
              </w:rPr>
              <w:t>NO</w:t>
            </w:r>
          </w:p>
        </w:tc>
      </w:tr>
    </w:tbl>
    <w:p w14:paraId="6ECE93E6" w14:textId="77777777" w:rsidR="0022086B" w:rsidRPr="00C04C4B" w:rsidRDefault="0065443B">
      <w:pPr>
        <w:jc w:val="center"/>
        <w:rPr>
          <w:rFonts w:ascii="Garamond" w:eastAsia="Garamond" w:hAnsi="Garamond" w:cs="Garamond"/>
        </w:rPr>
      </w:pPr>
      <w:r w:rsidRPr="00C04C4B">
        <w:rPr>
          <w:rFonts w:ascii="Garamond" w:eastAsia="Garamond" w:hAnsi="Garamond" w:cs="Garamond"/>
        </w:rPr>
        <w:t>Tabla No. 25</w:t>
      </w:r>
    </w:p>
    <w:p w14:paraId="060CD372" w14:textId="77777777" w:rsidR="0022086B" w:rsidRPr="00C04C4B" w:rsidRDefault="0022086B">
      <w:pPr>
        <w:jc w:val="both"/>
        <w:rPr>
          <w:rFonts w:ascii="Garamond" w:eastAsia="Garamond" w:hAnsi="Garamond" w:cs="Garamond"/>
        </w:rPr>
      </w:pPr>
    </w:p>
    <w:p w14:paraId="35187DAD" w14:textId="77777777" w:rsidR="0022086B" w:rsidRPr="00C04C4B" w:rsidRDefault="0065443B">
      <w:pPr>
        <w:jc w:val="both"/>
        <w:rPr>
          <w:rFonts w:ascii="Garamond" w:eastAsia="Garamond" w:hAnsi="Garamond" w:cs="Garamond"/>
        </w:rPr>
      </w:pPr>
      <w:r w:rsidRPr="00C04C4B">
        <w:rPr>
          <w:rFonts w:ascii="Garamond" w:eastAsia="Garamond" w:hAnsi="Garamond" w:cs="Garamond"/>
        </w:rPr>
        <w:t>En consecuencia, la entidad concederá trato nacional a proponentes y servicios de los Estados que cuenten con un Acuerdo Comercial que cubra el proceso de contratación tales como la COMUNIDAD ANDINA y EL TRIANGULO DEL NORTE.</w:t>
      </w:r>
    </w:p>
    <w:p w14:paraId="079A37B5" w14:textId="77777777" w:rsidR="0022086B" w:rsidRPr="00C04C4B" w:rsidRDefault="0022086B">
      <w:pPr>
        <w:jc w:val="both"/>
        <w:rPr>
          <w:rFonts w:ascii="Garamond" w:eastAsia="Garamond" w:hAnsi="Garamond" w:cs="Garamond"/>
        </w:rPr>
      </w:pPr>
    </w:p>
    <w:p w14:paraId="4257D6C6" w14:textId="77777777" w:rsidR="0022086B" w:rsidRPr="00C04C4B" w:rsidRDefault="0065443B">
      <w:pPr>
        <w:jc w:val="both"/>
        <w:rPr>
          <w:rFonts w:ascii="Garamond" w:eastAsia="Garamond" w:hAnsi="Garamond" w:cs="Garamond"/>
        </w:rPr>
      </w:pPr>
      <w:r w:rsidRPr="00C04C4B">
        <w:rPr>
          <w:rFonts w:ascii="Garamond" w:eastAsia="Garamond" w:hAnsi="Garamond" w:cs="Garamond"/>
          <w:noProof/>
        </w:rPr>
        <w:lastRenderedPageBreak/>
        <mc:AlternateContent>
          <mc:Choice Requires="wps">
            <w:drawing>
              <wp:inline distT="0" distB="0" distL="0" distR="0" wp14:anchorId="7C93E33F" wp14:editId="5081D6DB">
                <wp:extent cx="6054090" cy="195580"/>
                <wp:effectExtent l="0" t="0" r="0" b="0"/>
                <wp:docPr id="126" name="Rectángulo 126"/>
                <wp:cNvGraphicFramePr/>
                <a:graphic xmlns:a="http://schemas.openxmlformats.org/drawingml/2006/main">
                  <a:graphicData uri="http://schemas.microsoft.com/office/word/2010/wordprocessingShape">
                    <wps:wsp>
                      <wps:cNvSpPr/>
                      <wps:spPr>
                        <a:xfrm>
                          <a:off x="2328480" y="3691735"/>
                          <a:ext cx="6035040" cy="176530"/>
                        </a:xfrm>
                        <a:prstGeom prst="rect">
                          <a:avLst/>
                        </a:prstGeom>
                        <a:solidFill>
                          <a:srgbClr val="D9D9D9"/>
                        </a:solidFill>
                        <a:ln w="9525" cap="flat" cmpd="sng">
                          <a:solidFill>
                            <a:srgbClr val="000000"/>
                          </a:solidFill>
                          <a:prstDash val="solid"/>
                          <a:round/>
                          <a:headEnd type="none" w="sm" len="sm"/>
                          <a:tailEnd type="none" w="sm" len="sm"/>
                        </a:ln>
                      </wps:spPr>
                      <wps:txbx>
                        <w:txbxContent>
                          <w:p w14:paraId="25BD8A7A" w14:textId="77777777" w:rsidR="0022086B" w:rsidRDefault="0065443B">
                            <w:pPr>
                              <w:spacing w:line="258" w:lineRule="auto"/>
                              <w:ind w:left="103" w:firstLine="206"/>
                              <w:textDirection w:val="btLr"/>
                            </w:pPr>
                            <w:r>
                              <w:rPr>
                                <w:b/>
                                <w:color w:val="000000"/>
                                <w:sz w:val="24"/>
                              </w:rPr>
                              <w:t>9. CONDICIONES GENERALES DEL CONTRATO</w:t>
                            </w:r>
                          </w:p>
                        </w:txbxContent>
                      </wps:txbx>
                      <wps:bodyPr spcFirstLastPara="1" wrap="square" lIns="0" tIns="0" rIns="0" bIns="0" anchor="t" anchorCtr="0">
                        <a:noAutofit/>
                      </wps:bodyPr>
                    </wps:wsp>
                  </a:graphicData>
                </a:graphic>
              </wp:inline>
            </w:drawing>
          </mc:Choice>
          <mc:Fallback>
            <w:pict>
              <v:rect w14:anchorId="7C93E33F" id="Rectángulo 126" o:spid="_x0000_s1042" style="width:476.7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" fillcolor="#d9d9d9">
                <v:stroke startarrowwidth="narrow" startarrowlength="short" endarrowwidth="narrow" endarrowlength="short" joinstyle="round"/>
                <v:textbox inset="0,0,0,0">
                  <w:txbxContent>
                    <w:p w14:paraId="25BD8A7A" w14:textId="77777777" w:rsidR="0022086B" w:rsidRDefault="0065443B">
                      <w:pPr>
                        <w:spacing w:line="258" w:lineRule="auto"/>
                        <w:ind w:left="103" w:firstLine="206"/>
                        <w:textDirection w:val="btLr"/>
                      </w:pPr>
                      <w:r>
                        <w:rPr>
                          <w:b/>
                          <w:color w:val="000000"/>
                          <w:sz w:val="24"/>
                        </w:rPr>
                        <w:t>9. CONDICIONES GENERALES DEL CONTRATO</w:t>
                      </w:r>
                    </w:p>
                  </w:txbxContent>
                </v:textbox>
                <w10:anchorlock/>
              </v:rect>
            </w:pict>
          </mc:Fallback>
        </mc:AlternateContent>
      </w:r>
    </w:p>
    <w:p w14:paraId="3ED7305D" w14:textId="77777777" w:rsidR="0022086B" w:rsidRPr="00C04C4B" w:rsidRDefault="0022086B">
      <w:pPr>
        <w:jc w:val="both"/>
        <w:rPr>
          <w:rFonts w:ascii="Garamond" w:eastAsia="Garamond" w:hAnsi="Garamond" w:cs="Garamond"/>
        </w:rPr>
      </w:pPr>
    </w:p>
    <w:p w14:paraId="60672FBB" w14:textId="77777777" w:rsidR="0022086B" w:rsidRPr="00C04C4B" w:rsidRDefault="0065443B">
      <w:pPr>
        <w:jc w:val="both"/>
        <w:rPr>
          <w:rFonts w:ascii="Garamond" w:eastAsia="Garamond" w:hAnsi="Garamond" w:cs="Garamond"/>
        </w:rPr>
      </w:pPr>
      <w:r w:rsidRPr="00C04C4B">
        <w:rPr>
          <w:rFonts w:ascii="Garamond" w:eastAsia="Garamond" w:hAnsi="Garamond" w:cs="Garamond"/>
        </w:rPr>
        <w:t>9.1. PLAZO</w:t>
      </w:r>
    </w:p>
    <w:p w14:paraId="719F11DD" w14:textId="77777777" w:rsidR="0022086B" w:rsidRPr="00C04C4B" w:rsidRDefault="0022086B">
      <w:pPr>
        <w:jc w:val="both"/>
        <w:rPr>
          <w:rFonts w:ascii="Garamond" w:eastAsia="Garamond" w:hAnsi="Garamond" w:cs="Garamond"/>
        </w:rPr>
      </w:pPr>
    </w:p>
    <w:p w14:paraId="7E7D51EE" w14:textId="26769EA4" w:rsidR="0022086B" w:rsidRPr="00C04C4B" w:rsidRDefault="0065443B">
      <w:pPr>
        <w:jc w:val="both"/>
        <w:rPr>
          <w:rFonts w:ascii="Garamond" w:eastAsia="Garamond" w:hAnsi="Garamond" w:cs="Garamond"/>
        </w:rPr>
      </w:pPr>
      <w:r w:rsidRPr="00C04C4B">
        <w:rPr>
          <w:rFonts w:ascii="Garamond" w:eastAsia="Garamond" w:hAnsi="Garamond" w:cs="Garamond"/>
        </w:rPr>
        <w:t xml:space="preserve">El plazo de ejecución del contrato que resulte del presente proceso de selección será por el término de </w:t>
      </w:r>
      <w:r w:rsidR="00C05364">
        <w:rPr>
          <w:rFonts w:ascii="Garamond" w:eastAsia="Garamond" w:hAnsi="Garamond" w:cs="Garamond"/>
        </w:rPr>
        <w:t>CUATRO</w:t>
      </w:r>
      <w:r w:rsidRPr="00C04C4B">
        <w:rPr>
          <w:rFonts w:ascii="Garamond" w:eastAsia="Garamond" w:hAnsi="Garamond" w:cs="Garamond"/>
        </w:rPr>
        <w:t>(</w:t>
      </w:r>
      <w:r w:rsidR="00C05364">
        <w:rPr>
          <w:rFonts w:ascii="Garamond" w:eastAsia="Garamond" w:hAnsi="Garamond" w:cs="Garamond"/>
        </w:rPr>
        <w:t>4</w:t>
      </w:r>
      <w:r w:rsidRPr="00C04C4B">
        <w:rPr>
          <w:rFonts w:ascii="Garamond" w:eastAsia="Garamond" w:hAnsi="Garamond" w:cs="Garamond"/>
        </w:rPr>
        <w:t>) MESES, contados a partir de la fecha de suscripción del acta de inicio, suscrita entre el Fondo de Desarrollo Local de TUNJUELITO y el Contratista, previo cumplimiento de los requisitos de ejecución</w:t>
      </w:r>
    </w:p>
    <w:p w14:paraId="28BD0109" w14:textId="77777777" w:rsidR="0022086B" w:rsidRPr="00C04C4B" w:rsidRDefault="0022086B">
      <w:pPr>
        <w:jc w:val="both"/>
        <w:rPr>
          <w:rFonts w:ascii="Garamond" w:eastAsia="Garamond" w:hAnsi="Garamond" w:cs="Garamond"/>
        </w:rPr>
      </w:pPr>
    </w:p>
    <w:p w14:paraId="75DD8D8F" w14:textId="77777777" w:rsidR="0022086B" w:rsidRPr="00C04C4B" w:rsidRDefault="0065443B">
      <w:pPr>
        <w:jc w:val="both"/>
        <w:rPr>
          <w:rFonts w:ascii="Garamond" w:eastAsia="Garamond" w:hAnsi="Garamond" w:cs="Garamond"/>
        </w:rPr>
      </w:pPr>
      <w:r w:rsidRPr="00C04C4B">
        <w:rPr>
          <w:rFonts w:ascii="Garamond" w:eastAsia="Garamond" w:hAnsi="Garamond" w:cs="Garamond"/>
        </w:rPr>
        <w:t xml:space="preserve">Será requisito de ejecución la aprobación de las garantías las cuales deberán ser publicadas por el proponente adjudicatario y aprobadas por la entidad a través de la plataforma </w:t>
      </w:r>
      <w:proofErr w:type="spellStart"/>
      <w:r w:rsidRPr="00C04C4B">
        <w:rPr>
          <w:rFonts w:ascii="Garamond" w:eastAsia="Garamond" w:hAnsi="Garamond" w:cs="Garamond"/>
        </w:rPr>
        <w:t>SECOP</w:t>
      </w:r>
      <w:proofErr w:type="spellEnd"/>
      <w:r w:rsidRPr="00C04C4B">
        <w:rPr>
          <w:rFonts w:ascii="Garamond" w:eastAsia="Garamond" w:hAnsi="Garamond" w:cs="Garamond"/>
        </w:rPr>
        <w:t xml:space="preserve"> II.</w:t>
      </w:r>
    </w:p>
    <w:p w14:paraId="4F8C983D" w14:textId="77777777" w:rsidR="0022086B" w:rsidRPr="00C04C4B" w:rsidRDefault="0022086B">
      <w:pPr>
        <w:jc w:val="both"/>
        <w:rPr>
          <w:rFonts w:ascii="Garamond" w:eastAsia="Garamond" w:hAnsi="Garamond" w:cs="Garamond"/>
        </w:rPr>
      </w:pPr>
    </w:p>
    <w:p w14:paraId="5FB94E93" w14:textId="77777777" w:rsidR="0022086B" w:rsidRPr="00C04C4B" w:rsidRDefault="0065443B">
      <w:pPr>
        <w:jc w:val="both"/>
        <w:rPr>
          <w:rFonts w:ascii="Garamond" w:eastAsia="Garamond" w:hAnsi="Garamond" w:cs="Garamond"/>
        </w:rPr>
      </w:pPr>
      <w:r w:rsidRPr="00C04C4B">
        <w:rPr>
          <w:rFonts w:ascii="Garamond" w:eastAsia="Garamond" w:hAnsi="Garamond" w:cs="Garamond"/>
        </w:rPr>
        <w:t>Una vez suscrita el Acta de Inicio, el Contratista se obliga a remitir la misma a la compañía aseguradora o al garante a efectos de que esta actualice las vigencias de las garantías si a ello hay lugar con ocasión de la fecha de suscripción de dicha acta.</w:t>
      </w:r>
    </w:p>
    <w:p w14:paraId="63084540" w14:textId="77777777" w:rsidR="0022086B" w:rsidRPr="00C04C4B" w:rsidRDefault="0022086B">
      <w:pPr>
        <w:jc w:val="both"/>
        <w:rPr>
          <w:rFonts w:ascii="Garamond" w:eastAsia="Garamond" w:hAnsi="Garamond" w:cs="Garamond"/>
        </w:rPr>
      </w:pPr>
    </w:p>
    <w:p w14:paraId="4F559F03" w14:textId="77777777" w:rsidR="0022086B" w:rsidRPr="00C04C4B" w:rsidRDefault="0065443B">
      <w:pPr>
        <w:jc w:val="both"/>
        <w:rPr>
          <w:rFonts w:ascii="Garamond" w:eastAsia="Garamond" w:hAnsi="Garamond" w:cs="Garamond"/>
        </w:rPr>
      </w:pPr>
      <w:r w:rsidRPr="00C04C4B">
        <w:rPr>
          <w:rFonts w:ascii="Garamond" w:eastAsia="Garamond" w:hAnsi="Garamond" w:cs="Garamond"/>
        </w:rPr>
        <w:t>9.2. VALOR</w:t>
      </w:r>
    </w:p>
    <w:p w14:paraId="22C20C1C" w14:textId="77777777" w:rsidR="0022086B" w:rsidRPr="00C04C4B" w:rsidRDefault="0022086B">
      <w:pPr>
        <w:jc w:val="both"/>
        <w:rPr>
          <w:rFonts w:ascii="Garamond" w:eastAsia="Garamond" w:hAnsi="Garamond" w:cs="Garamond"/>
        </w:rPr>
      </w:pPr>
    </w:p>
    <w:p w14:paraId="095755BB" w14:textId="2EEB709E" w:rsidR="0022086B" w:rsidRPr="00C04C4B" w:rsidRDefault="0065443B">
      <w:pPr>
        <w:jc w:val="both"/>
        <w:rPr>
          <w:rFonts w:ascii="Garamond" w:eastAsia="Garamond" w:hAnsi="Garamond" w:cs="Garamond"/>
        </w:rPr>
      </w:pPr>
      <w:r w:rsidRPr="00C04C4B">
        <w:rPr>
          <w:rFonts w:ascii="Garamond" w:eastAsia="Garamond" w:hAnsi="Garamond" w:cs="Garamond"/>
        </w:rPr>
        <w:t>El valor del contrato se estima hasta por la suma de</w:t>
      </w:r>
      <w:r w:rsidRPr="00C04C4B">
        <w:rPr>
          <w:rFonts w:ascii="Garamond" w:eastAsia="Garamond" w:hAnsi="Garamond" w:cs="Garamond"/>
          <w:b/>
        </w:rPr>
        <w:t xml:space="preserve"> </w:t>
      </w:r>
      <w:r w:rsidR="004611CB" w:rsidRPr="00C04C4B">
        <w:rPr>
          <w:rFonts w:ascii="Garamond" w:eastAsia="Garamond" w:hAnsi="Garamond" w:cs="Garamond"/>
          <w:b/>
        </w:rPr>
        <w:t xml:space="preserve">OCHENTA Y NUEVE MILLONES QUINIENTOS DIECISÉIS MIL QUINIENTOS TREINTA PESOS </w:t>
      </w:r>
      <w:proofErr w:type="spellStart"/>
      <w:r w:rsidR="004611CB" w:rsidRPr="00C04C4B">
        <w:rPr>
          <w:rFonts w:ascii="Garamond" w:eastAsia="Garamond" w:hAnsi="Garamond" w:cs="Garamond"/>
          <w:b/>
        </w:rPr>
        <w:t>MTE</w:t>
      </w:r>
      <w:proofErr w:type="spellEnd"/>
      <w:r w:rsidR="004611CB" w:rsidRPr="00C04C4B">
        <w:rPr>
          <w:rFonts w:ascii="Garamond" w:eastAsia="Garamond" w:hAnsi="Garamond" w:cs="Garamond"/>
          <w:b/>
        </w:rPr>
        <w:t xml:space="preserve"> ($89,516,530)</w:t>
      </w:r>
      <w:r w:rsidRPr="00C04C4B">
        <w:rPr>
          <w:rFonts w:ascii="Garamond" w:eastAsia="Garamond" w:hAnsi="Garamond" w:cs="Garamond"/>
        </w:rPr>
        <w:t>, incluido IVA y demás impuestos y/o contribuciones.</w:t>
      </w:r>
    </w:p>
    <w:p w14:paraId="7680AC50" w14:textId="77777777" w:rsidR="0022086B" w:rsidRPr="00C04C4B" w:rsidRDefault="0022086B">
      <w:pPr>
        <w:jc w:val="both"/>
        <w:rPr>
          <w:rFonts w:ascii="Garamond" w:eastAsia="Garamond" w:hAnsi="Garamond" w:cs="Garamond"/>
        </w:rPr>
      </w:pPr>
    </w:p>
    <w:p w14:paraId="415F80E8" w14:textId="77777777" w:rsidR="0022086B" w:rsidRPr="00C04C4B" w:rsidRDefault="0065443B">
      <w:pPr>
        <w:jc w:val="both"/>
        <w:rPr>
          <w:rFonts w:ascii="Garamond" w:eastAsia="Garamond" w:hAnsi="Garamond" w:cs="Garamond"/>
        </w:rPr>
      </w:pPr>
      <w:r w:rsidRPr="00C04C4B">
        <w:rPr>
          <w:rFonts w:ascii="Garamond" w:eastAsia="Garamond" w:hAnsi="Garamond" w:cs="Garamond"/>
        </w:rPr>
        <w:t>El valor total del contrato será el que resulte de la propuesta presentada por el proponente adjudicatario y será señalado en la minuta contractual, entendiéndose incluidos dentro del mismo: el Impuesto al Valor Agregado (</w:t>
      </w:r>
      <w:proofErr w:type="spellStart"/>
      <w:r w:rsidRPr="00C04C4B">
        <w:rPr>
          <w:rFonts w:ascii="Garamond" w:eastAsia="Garamond" w:hAnsi="Garamond" w:cs="Garamond"/>
        </w:rPr>
        <w:t>I.V.A</w:t>
      </w:r>
      <w:proofErr w:type="spellEnd"/>
      <w:r w:rsidRPr="00C04C4B">
        <w:rPr>
          <w:rFonts w:ascii="Garamond" w:eastAsia="Garamond" w:hAnsi="Garamond" w:cs="Garamond"/>
        </w:rPr>
        <w:t xml:space="preserve">.) y demás impuestos, tasas, contribuciones de carácter nacional y/o distrital legales, así como los costos directos e indirectos que conlleven las etapas precontractual, contractual y </w:t>
      </w:r>
      <w:proofErr w:type="spellStart"/>
      <w:r w:rsidRPr="00C04C4B">
        <w:rPr>
          <w:rFonts w:ascii="Garamond" w:eastAsia="Garamond" w:hAnsi="Garamond" w:cs="Garamond"/>
        </w:rPr>
        <w:t>pos-contractual</w:t>
      </w:r>
      <w:proofErr w:type="spellEnd"/>
      <w:r w:rsidRPr="00C04C4B">
        <w:rPr>
          <w:rFonts w:ascii="Garamond" w:eastAsia="Garamond" w:hAnsi="Garamond" w:cs="Garamond"/>
        </w:rPr>
        <w:t>.</w:t>
      </w:r>
    </w:p>
    <w:p w14:paraId="07E12A43" w14:textId="77777777" w:rsidR="0022086B" w:rsidRPr="00C04C4B" w:rsidRDefault="0022086B">
      <w:pPr>
        <w:jc w:val="both"/>
        <w:rPr>
          <w:rFonts w:ascii="Garamond" w:eastAsia="Garamond" w:hAnsi="Garamond" w:cs="Garamond"/>
        </w:rPr>
      </w:pPr>
    </w:p>
    <w:p w14:paraId="641F07FB" w14:textId="77777777" w:rsidR="0022086B" w:rsidRPr="00C04C4B" w:rsidRDefault="0065443B">
      <w:pPr>
        <w:jc w:val="both"/>
        <w:rPr>
          <w:rFonts w:ascii="Garamond" w:eastAsia="Garamond" w:hAnsi="Garamond" w:cs="Garamond"/>
        </w:rPr>
      </w:pPr>
      <w:r w:rsidRPr="00C04C4B">
        <w:rPr>
          <w:rFonts w:ascii="Garamond" w:eastAsia="Garamond" w:hAnsi="Garamond" w:cs="Garamond"/>
        </w:rPr>
        <w:t>En todo caso el valor del contrato no podrá superar el monto del presupuesto estimado para la contratación.</w:t>
      </w:r>
    </w:p>
    <w:p w14:paraId="15821881" w14:textId="77777777" w:rsidR="0022086B" w:rsidRPr="00C04C4B" w:rsidRDefault="0022086B">
      <w:pPr>
        <w:jc w:val="both"/>
        <w:rPr>
          <w:rFonts w:ascii="Garamond" w:eastAsia="Garamond" w:hAnsi="Garamond" w:cs="Garamond"/>
        </w:rPr>
      </w:pPr>
    </w:p>
    <w:p w14:paraId="3AF2CB0E" w14:textId="77777777" w:rsidR="0022086B" w:rsidRPr="00C04C4B" w:rsidRDefault="0065443B">
      <w:pPr>
        <w:jc w:val="both"/>
        <w:rPr>
          <w:rFonts w:ascii="Garamond" w:eastAsia="Garamond" w:hAnsi="Garamond" w:cs="Garamond"/>
          <w:b/>
        </w:rPr>
      </w:pPr>
      <w:r w:rsidRPr="00C04C4B">
        <w:rPr>
          <w:rFonts w:ascii="Garamond" w:eastAsia="Garamond" w:hAnsi="Garamond" w:cs="Garamond"/>
          <w:b/>
        </w:rPr>
        <w:t>9.3. FORMA DE PAGO</w:t>
      </w:r>
    </w:p>
    <w:p w14:paraId="0F64A8C9" w14:textId="77777777" w:rsidR="0022086B" w:rsidRPr="00C04C4B" w:rsidRDefault="0022086B">
      <w:pPr>
        <w:jc w:val="both"/>
        <w:rPr>
          <w:rFonts w:ascii="Garamond" w:eastAsia="Garamond" w:hAnsi="Garamond" w:cs="Garamond"/>
        </w:rPr>
      </w:pPr>
    </w:p>
    <w:p w14:paraId="23ABF28D" w14:textId="77777777" w:rsidR="0022086B" w:rsidRPr="00C04C4B" w:rsidRDefault="0065443B">
      <w:pPr>
        <w:jc w:val="both"/>
        <w:rPr>
          <w:rFonts w:ascii="Garamond" w:eastAsia="Garamond" w:hAnsi="Garamond" w:cs="Garamond"/>
        </w:rPr>
      </w:pPr>
      <w:r w:rsidRPr="00C04C4B">
        <w:rPr>
          <w:rFonts w:ascii="Garamond" w:eastAsia="Garamond" w:hAnsi="Garamond" w:cs="Garamond"/>
        </w:rPr>
        <w:t>El valor del contrato se pagará de la siguiente forma:</w:t>
      </w:r>
    </w:p>
    <w:p w14:paraId="1684C24C" w14:textId="77777777" w:rsidR="0022086B" w:rsidRPr="00C04C4B" w:rsidRDefault="0022086B">
      <w:pPr>
        <w:jc w:val="both"/>
        <w:rPr>
          <w:rFonts w:ascii="Garamond" w:eastAsia="Garamond" w:hAnsi="Garamond" w:cs="Garamond"/>
        </w:rPr>
      </w:pPr>
    </w:p>
    <w:p w14:paraId="7E1EA47D" w14:textId="77777777" w:rsidR="0022086B" w:rsidRPr="00C04C4B" w:rsidRDefault="0065443B">
      <w:pPr>
        <w:jc w:val="both"/>
        <w:rPr>
          <w:rFonts w:ascii="Garamond" w:eastAsia="Garamond" w:hAnsi="Garamond" w:cs="Garamond"/>
        </w:rPr>
      </w:pPr>
      <w:r w:rsidRPr="00C04C4B">
        <w:rPr>
          <w:rFonts w:ascii="Garamond" w:eastAsia="Garamond" w:hAnsi="Garamond" w:cs="Garamond"/>
        </w:rPr>
        <w:t>El valor total del contrato será el valor total de la propuesta presentada por el oferente adjudicatario o el valor total corregido de la misma, si a ello hubiere lugar. No obstante, lo anterior, el valor final del contrato será el resultante de los servicios efectivamente prestados por el interventor y recibidos por el contratante a entera satisfacción.</w:t>
      </w:r>
    </w:p>
    <w:p w14:paraId="7899492A" w14:textId="77777777" w:rsidR="0022086B" w:rsidRPr="00C04C4B" w:rsidRDefault="0022086B">
      <w:pPr>
        <w:jc w:val="both"/>
        <w:rPr>
          <w:rFonts w:ascii="Garamond" w:eastAsia="Garamond" w:hAnsi="Garamond" w:cs="Garamond"/>
        </w:rPr>
      </w:pPr>
    </w:p>
    <w:p w14:paraId="2B98D6E8" w14:textId="77777777" w:rsidR="0022086B" w:rsidRPr="00C04C4B" w:rsidRDefault="0065443B">
      <w:pPr>
        <w:jc w:val="both"/>
        <w:rPr>
          <w:rFonts w:ascii="Garamond" w:eastAsia="Garamond" w:hAnsi="Garamond" w:cs="Garamond"/>
        </w:rPr>
      </w:pPr>
      <w:r w:rsidRPr="00C04C4B">
        <w:rPr>
          <w:rFonts w:ascii="Garamond" w:eastAsia="Garamond" w:hAnsi="Garamond" w:cs="Garamond"/>
        </w:rPr>
        <w:t>El valor del contrato incluye el costo de personal, las especificaciones contenidas en la oferta, Impuesto al Valor Agregado (</w:t>
      </w:r>
      <w:proofErr w:type="spellStart"/>
      <w:r w:rsidRPr="00C04C4B">
        <w:rPr>
          <w:rFonts w:ascii="Garamond" w:eastAsia="Garamond" w:hAnsi="Garamond" w:cs="Garamond"/>
        </w:rPr>
        <w:t>I.V.A</w:t>
      </w:r>
      <w:proofErr w:type="spellEnd"/>
      <w:r w:rsidRPr="00C04C4B">
        <w:rPr>
          <w:rFonts w:ascii="Garamond" w:eastAsia="Garamond" w:hAnsi="Garamond" w:cs="Garamond"/>
        </w:rPr>
        <w:t>. 19%) y demás impuestos, tasas y contribuciones de carácter nacional y/o distrital legales vigentes y demás costos directos e indirectos que conlleve la ejecución del contrato, todo lo cual asume el interventor por su cuenta y riesgo.</w:t>
      </w:r>
    </w:p>
    <w:p w14:paraId="2179457E" w14:textId="77777777" w:rsidR="0022086B" w:rsidRPr="00C04C4B" w:rsidRDefault="0022086B">
      <w:pPr>
        <w:jc w:val="both"/>
        <w:rPr>
          <w:rFonts w:ascii="Garamond" w:eastAsia="Garamond" w:hAnsi="Garamond" w:cs="Garamond"/>
        </w:rPr>
      </w:pPr>
    </w:p>
    <w:p w14:paraId="446BC9FD" w14:textId="77777777" w:rsidR="0022086B" w:rsidRPr="00C04C4B" w:rsidRDefault="0065443B">
      <w:pPr>
        <w:jc w:val="both"/>
        <w:rPr>
          <w:rFonts w:ascii="Garamond" w:eastAsia="Garamond" w:hAnsi="Garamond" w:cs="Garamond"/>
        </w:rPr>
      </w:pPr>
      <w:r w:rsidRPr="00C04C4B">
        <w:rPr>
          <w:rFonts w:ascii="Garamond" w:eastAsia="Garamond" w:hAnsi="Garamond" w:cs="Garamond"/>
        </w:rPr>
        <w:t xml:space="preserve">El </w:t>
      </w:r>
      <w:proofErr w:type="spellStart"/>
      <w:r w:rsidRPr="00C04C4B">
        <w:rPr>
          <w:rFonts w:ascii="Garamond" w:eastAsia="Garamond" w:hAnsi="Garamond" w:cs="Garamond"/>
        </w:rPr>
        <w:t>FDLT</w:t>
      </w:r>
      <w:proofErr w:type="spellEnd"/>
      <w:r w:rsidRPr="00C04C4B">
        <w:rPr>
          <w:rFonts w:ascii="Garamond" w:eastAsia="Garamond" w:hAnsi="Garamond" w:cs="Garamond"/>
        </w:rPr>
        <w:t>., se compromete a pagar el valor del Contrato subordinado a las apropiaciones que del mismo se hagan del presupuesto, de la siguiente manera:</w:t>
      </w:r>
    </w:p>
    <w:p w14:paraId="7630D93B" w14:textId="77777777" w:rsidR="0022086B" w:rsidRPr="00C04C4B" w:rsidRDefault="0022086B">
      <w:pPr>
        <w:jc w:val="both"/>
        <w:rPr>
          <w:rFonts w:ascii="Garamond" w:eastAsia="Garamond" w:hAnsi="Garamond" w:cs="Garamond"/>
        </w:rPr>
      </w:pPr>
    </w:p>
    <w:p w14:paraId="4B0AA2F8" w14:textId="101A7758" w:rsidR="0022086B" w:rsidRPr="00C04C4B" w:rsidRDefault="0065443B">
      <w:pPr>
        <w:jc w:val="both"/>
        <w:rPr>
          <w:rFonts w:ascii="Garamond" w:eastAsia="Garamond" w:hAnsi="Garamond" w:cs="Garamond"/>
        </w:rPr>
      </w:pPr>
      <w:r w:rsidRPr="00C04C4B">
        <w:rPr>
          <w:rFonts w:ascii="Garamond" w:eastAsia="Garamond" w:hAnsi="Garamond" w:cs="Garamond"/>
        </w:rPr>
        <w:t>PAGO POR AVANCE DE OBRA: La entidad cancelará al interventor el valor del contrato en pagos parciales, de acuerdo con la ejecución del contrato hasta el 95% del valor del contrato.</w:t>
      </w:r>
    </w:p>
    <w:p w14:paraId="721AEBB8" w14:textId="77777777" w:rsidR="0022086B" w:rsidRPr="00C04C4B" w:rsidRDefault="0022086B">
      <w:pPr>
        <w:jc w:val="both"/>
        <w:rPr>
          <w:rFonts w:ascii="Garamond" w:eastAsia="Garamond" w:hAnsi="Garamond" w:cs="Garamond"/>
        </w:rPr>
      </w:pPr>
    </w:p>
    <w:p w14:paraId="0DD1D3B4" w14:textId="77777777" w:rsidR="0022086B" w:rsidRPr="00C04C4B" w:rsidRDefault="0065443B">
      <w:pPr>
        <w:jc w:val="both"/>
        <w:rPr>
          <w:rFonts w:ascii="Garamond" w:eastAsia="Garamond" w:hAnsi="Garamond" w:cs="Garamond"/>
        </w:rPr>
      </w:pPr>
      <w:r w:rsidRPr="00C04C4B">
        <w:rPr>
          <w:rFonts w:ascii="Garamond" w:eastAsia="Garamond" w:hAnsi="Garamond" w:cs="Garamond"/>
        </w:rPr>
        <w:t>TERMINACIÓN Y LIQUIDACIÓN: Un pago final por el 5% del valor del contrato de interventoría, una vez se haya suscrito el acta de liquidación del contrato de obra. Así mismo, se debe cumplir con la entrega de los productos técnicos, administrativos, financieros y jurídicos que hacen parte del contrato y todos aquellos documentos solicitados por la supervisión</w:t>
      </w:r>
    </w:p>
    <w:p w14:paraId="45B35C8F" w14:textId="77777777" w:rsidR="0022086B" w:rsidRPr="00C04C4B" w:rsidRDefault="0022086B">
      <w:pPr>
        <w:jc w:val="both"/>
        <w:rPr>
          <w:rFonts w:ascii="Garamond" w:eastAsia="Garamond" w:hAnsi="Garamond" w:cs="Garamond"/>
        </w:rPr>
      </w:pPr>
    </w:p>
    <w:p w14:paraId="0CF2AE52" w14:textId="77777777" w:rsidR="0022086B" w:rsidRPr="00C04C4B" w:rsidRDefault="0065443B">
      <w:pPr>
        <w:jc w:val="both"/>
        <w:rPr>
          <w:rFonts w:ascii="Garamond" w:eastAsia="Garamond" w:hAnsi="Garamond" w:cs="Garamond"/>
        </w:rPr>
      </w:pPr>
      <w:r w:rsidRPr="00C04C4B">
        <w:rPr>
          <w:rFonts w:ascii="Garamond" w:eastAsia="Garamond" w:hAnsi="Garamond" w:cs="Garamond"/>
        </w:rPr>
        <w:t>El pago al interventor se efectuará dentro de los (30) días hábiles siguientes a la presentación de la factura y visto bueno por parte del supervisor designado del recibo a satisfacción de las actividades, acompañada del acta de recibo y de la certificación de encontrarse el interventor al día en el pago de aportes al Sistema de la Seguridad Social y Parafiscales, de conformidad con lo señalado en el artículo 23 de la Ley 1150 de 2007.</w:t>
      </w:r>
    </w:p>
    <w:p w14:paraId="5516477F" w14:textId="77777777" w:rsidR="0022086B" w:rsidRPr="00C04C4B" w:rsidRDefault="0022086B">
      <w:pPr>
        <w:jc w:val="both"/>
        <w:rPr>
          <w:rFonts w:ascii="Garamond" w:eastAsia="Garamond" w:hAnsi="Garamond" w:cs="Garamond"/>
        </w:rPr>
      </w:pPr>
    </w:p>
    <w:p w14:paraId="52C1A675" w14:textId="77777777" w:rsidR="0022086B" w:rsidRPr="00C04C4B" w:rsidRDefault="0065443B">
      <w:pPr>
        <w:jc w:val="both"/>
        <w:rPr>
          <w:rFonts w:ascii="Garamond" w:eastAsia="Garamond" w:hAnsi="Garamond" w:cs="Garamond"/>
        </w:rPr>
      </w:pPr>
      <w:r w:rsidRPr="00C04C4B">
        <w:rPr>
          <w:rFonts w:ascii="Garamond" w:eastAsia="Garamond" w:hAnsi="Garamond" w:cs="Garamond"/>
        </w:rPr>
        <w:t>Para el pago el Contratista deberá presentar:</w:t>
      </w:r>
    </w:p>
    <w:p w14:paraId="6A1BAFBE" w14:textId="77777777" w:rsidR="0022086B" w:rsidRPr="00C04C4B" w:rsidRDefault="0022086B">
      <w:pPr>
        <w:jc w:val="both"/>
        <w:rPr>
          <w:rFonts w:ascii="Garamond" w:eastAsia="Garamond" w:hAnsi="Garamond" w:cs="Garamond"/>
        </w:rPr>
      </w:pPr>
    </w:p>
    <w:p w14:paraId="4331F2AD" w14:textId="77777777" w:rsidR="0022086B" w:rsidRPr="00C04C4B" w:rsidRDefault="0065443B" w:rsidP="00A23238">
      <w:pPr>
        <w:numPr>
          <w:ilvl w:val="0"/>
          <w:numId w:val="3"/>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Informe mensual de actividades.</w:t>
      </w:r>
    </w:p>
    <w:p w14:paraId="6E37AAD7" w14:textId="77777777" w:rsidR="0022086B" w:rsidRPr="00C04C4B" w:rsidRDefault="0065443B" w:rsidP="00A23238">
      <w:pPr>
        <w:numPr>
          <w:ilvl w:val="0"/>
          <w:numId w:val="3"/>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Factura correspondiente y demás soportes tributarios.</w:t>
      </w:r>
    </w:p>
    <w:p w14:paraId="68A1EBB2" w14:textId="77777777" w:rsidR="0022086B" w:rsidRPr="00C04C4B" w:rsidRDefault="0065443B" w:rsidP="00A23238">
      <w:pPr>
        <w:numPr>
          <w:ilvl w:val="0"/>
          <w:numId w:val="3"/>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Certificación de cumplimiento expedida por parte del supervisor sobre los informes mensuales de trabajos o actividades realizados por el contratista y debidamente firmados por el mismo;</w:t>
      </w:r>
    </w:p>
    <w:p w14:paraId="26DBF397" w14:textId="77777777" w:rsidR="0022086B" w:rsidRPr="00C04C4B" w:rsidRDefault="0065443B" w:rsidP="00A23238">
      <w:pPr>
        <w:numPr>
          <w:ilvl w:val="0"/>
          <w:numId w:val="3"/>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Acreditación de pagos al sistema de seguridad social integral y pagos de parafiscales cuando corresponda para el periodo cobrado, en proporción al valor mensual de cada componente.</w:t>
      </w:r>
    </w:p>
    <w:p w14:paraId="5F1CBF38" w14:textId="77777777" w:rsidR="0022086B" w:rsidRPr="00C04C4B" w:rsidRDefault="0065443B" w:rsidP="00A23238">
      <w:pPr>
        <w:numPr>
          <w:ilvl w:val="0"/>
          <w:numId w:val="3"/>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Los pagos se realizarán dentro de los términos establecidos en los procedimientos de pago y reprogramación del PAC.</w:t>
      </w:r>
    </w:p>
    <w:p w14:paraId="6CE0BF9A" w14:textId="77777777" w:rsidR="0022086B" w:rsidRPr="00C04C4B" w:rsidRDefault="0065443B" w:rsidP="00A23238">
      <w:pPr>
        <w:numPr>
          <w:ilvl w:val="0"/>
          <w:numId w:val="3"/>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El último pago, estará supeditado al cumplimiento de los anteriores requisitos y a la oportuna elaboración de las actas de liquidación de los contratos de obra debidamente legalizadas y la liquidación de la interventoría.</w:t>
      </w:r>
    </w:p>
    <w:p w14:paraId="0523653E" w14:textId="77777777" w:rsidR="0022086B" w:rsidRPr="00C04C4B" w:rsidRDefault="0022086B">
      <w:pPr>
        <w:jc w:val="both"/>
        <w:rPr>
          <w:rFonts w:ascii="Garamond" w:eastAsia="Garamond" w:hAnsi="Garamond" w:cs="Garamond"/>
        </w:rPr>
      </w:pPr>
    </w:p>
    <w:p w14:paraId="39EFBD63" w14:textId="77777777" w:rsidR="0022086B" w:rsidRPr="00C04C4B" w:rsidRDefault="0065443B">
      <w:pPr>
        <w:jc w:val="both"/>
        <w:rPr>
          <w:rFonts w:ascii="Garamond" w:eastAsia="Garamond" w:hAnsi="Garamond" w:cs="Garamond"/>
        </w:rPr>
      </w:pPr>
      <w:r w:rsidRPr="00C04C4B">
        <w:rPr>
          <w:rFonts w:ascii="Garamond" w:eastAsia="Garamond" w:hAnsi="Garamond" w:cs="Garamond"/>
        </w:rPr>
        <w:t xml:space="preserve">La radicación de los documentos por fuera de las fechas establecidas para la programación del PAC dará lugar a la no inclusión en la programación de pagos para el mes siguiente. En todo caso, los pagos efectuados con cargo al presente contrato estarán sujetos a Programación Anual de Caja "PAC". EL </w:t>
      </w:r>
      <w:proofErr w:type="spellStart"/>
      <w:r w:rsidRPr="00C04C4B">
        <w:rPr>
          <w:rFonts w:ascii="Garamond" w:eastAsia="Garamond" w:hAnsi="Garamond" w:cs="Garamond"/>
        </w:rPr>
        <w:t>FDLT</w:t>
      </w:r>
      <w:proofErr w:type="spellEnd"/>
      <w:r w:rsidRPr="00C04C4B">
        <w:rPr>
          <w:rFonts w:ascii="Garamond" w:eastAsia="Garamond" w:hAnsi="Garamond" w:cs="Garamond"/>
        </w:rPr>
        <w:t xml:space="preserve"> podrá abstenerse de tramitar el pago, cuando se presenten irregularidades o inconformidades en los soportes de cumplimiento del contrato.</w:t>
      </w:r>
    </w:p>
    <w:p w14:paraId="3D414BD7" w14:textId="77777777" w:rsidR="0022086B" w:rsidRPr="00C04C4B" w:rsidRDefault="0022086B">
      <w:pPr>
        <w:jc w:val="both"/>
        <w:rPr>
          <w:rFonts w:ascii="Garamond" w:eastAsia="Garamond" w:hAnsi="Garamond" w:cs="Garamond"/>
        </w:rPr>
      </w:pPr>
    </w:p>
    <w:p w14:paraId="0D075EE2" w14:textId="77777777" w:rsidR="0022086B" w:rsidRPr="00C04C4B" w:rsidRDefault="0065443B">
      <w:pPr>
        <w:jc w:val="both"/>
        <w:rPr>
          <w:rFonts w:ascii="Garamond" w:eastAsia="Garamond" w:hAnsi="Garamond" w:cs="Garamond"/>
        </w:rPr>
      </w:pPr>
      <w:r w:rsidRPr="00C04C4B">
        <w:rPr>
          <w:rFonts w:ascii="Garamond" w:eastAsia="Garamond" w:hAnsi="Garamond" w:cs="Garamond"/>
        </w:rPr>
        <w:t xml:space="preserve">El </w:t>
      </w:r>
      <w:proofErr w:type="spellStart"/>
      <w:r w:rsidRPr="00C04C4B">
        <w:rPr>
          <w:rFonts w:ascii="Garamond" w:eastAsia="Garamond" w:hAnsi="Garamond" w:cs="Garamond"/>
        </w:rPr>
        <w:t>FDL</w:t>
      </w:r>
      <w:proofErr w:type="spellEnd"/>
      <w:r w:rsidRPr="00C04C4B">
        <w:rPr>
          <w:rFonts w:ascii="Garamond" w:eastAsia="Garamond" w:hAnsi="Garamond" w:cs="Garamond"/>
        </w:rPr>
        <w:t xml:space="preserve">, solo adquiere obligaciones con el CONTRATISTA DE INTERVENTORÍA y bajo ningún motivo o circunstancia efectuará pagos a terceros. Los pagos serán realizados por medio de la Tesorería Distrital, de la Secretaría Distrital de Hacienda, en pesos colombianos, a través de la consignación en la cuenta corriente o de </w:t>
      </w:r>
      <w:r w:rsidRPr="00C04C4B">
        <w:rPr>
          <w:rFonts w:ascii="Garamond" w:eastAsia="Garamond" w:hAnsi="Garamond" w:cs="Garamond"/>
        </w:rPr>
        <w:lastRenderedPageBreak/>
        <w:t>ahorros que indique el INTERVENTOR previo los descuentos de Ley. De mutuo acuerdo las partes establecen una condición suspensiva de sujeción para el trámite de la cuenta de cobro o factura, a la verificación efectiva de los pagos parafiscales correspondientes.</w:t>
      </w:r>
    </w:p>
    <w:p w14:paraId="6ECFCD87" w14:textId="77777777" w:rsidR="0022086B" w:rsidRPr="00C04C4B" w:rsidRDefault="0022086B">
      <w:pPr>
        <w:jc w:val="both"/>
        <w:rPr>
          <w:rFonts w:ascii="Garamond" w:eastAsia="Garamond" w:hAnsi="Garamond" w:cs="Garamond"/>
        </w:rPr>
      </w:pPr>
    </w:p>
    <w:p w14:paraId="350CB48C" w14:textId="77777777" w:rsidR="0022086B" w:rsidRPr="00C04C4B" w:rsidRDefault="0065443B">
      <w:pPr>
        <w:jc w:val="both"/>
        <w:rPr>
          <w:rFonts w:ascii="Garamond" w:eastAsia="Garamond" w:hAnsi="Garamond" w:cs="Garamond"/>
        </w:rPr>
      </w:pPr>
      <w:r w:rsidRPr="00C04C4B">
        <w:rPr>
          <w:rFonts w:ascii="Garamond" w:eastAsia="Garamond" w:hAnsi="Garamond" w:cs="Garamond"/>
        </w:rPr>
        <w:t>El contrato es a precio global, por lo tanto, se pagará al interventor el valor total del mismo, sin importar si se aumente el plazo del contrato a supervisar. Sin embargo, de conformidad con lo señalado por el artículo 85 de la Ley 1474 de 2011, el Contrato de Interventoría podría prorrogarse por el mismo plazo que se haya prorrogado el contrato objeto de supervisión. En tal caso, a juicio de la entidad contratante, el valor podría ajustarse en atención al mayor número de las obligaciones del objeto de interventoría. En este caso, no será aplicable lo dispuesto en el parágrafo del artículo 40 de la Ley 80 de 1993 en cuanto a límite de adición de contratos.</w:t>
      </w:r>
    </w:p>
    <w:p w14:paraId="4377261E" w14:textId="77777777" w:rsidR="0022086B" w:rsidRPr="00C04C4B" w:rsidRDefault="0022086B">
      <w:pPr>
        <w:jc w:val="both"/>
        <w:rPr>
          <w:rFonts w:ascii="Garamond" w:eastAsia="Garamond" w:hAnsi="Garamond" w:cs="Garamond"/>
        </w:rPr>
      </w:pPr>
    </w:p>
    <w:p w14:paraId="4CFE1CC6" w14:textId="77777777" w:rsidR="0022086B" w:rsidRPr="00C04C4B" w:rsidRDefault="0065443B">
      <w:pPr>
        <w:jc w:val="both"/>
        <w:rPr>
          <w:rFonts w:ascii="Garamond" w:eastAsia="Garamond" w:hAnsi="Garamond" w:cs="Garamond"/>
        </w:rPr>
      </w:pPr>
      <w:r w:rsidRPr="00C04C4B">
        <w:rPr>
          <w:rFonts w:ascii="Garamond" w:eastAsia="Garamond" w:hAnsi="Garamond" w:cs="Garamond"/>
        </w:rPr>
        <w:t xml:space="preserve">Así mismo, los impuestos y retenciones que surjan del presente contrato correrán por cuenta del contratista, para cuyos efectos el </w:t>
      </w:r>
      <w:proofErr w:type="spellStart"/>
      <w:r w:rsidRPr="00C04C4B">
        <w:rPr>
          <w:rFonts w:ascii="Garamond" w:eastAsia="Garamond" w:hAnsi="Garamond" w:cs="Garamond"/>
        </w:rPr>
        <w:t>FDLT</w:t>
      </w:r>
      <w:proofErr w:type="spellEnd"/>
      <w:r w:rsidRPr="00C04C4B">
        <w:rPr>
          <w:rFonts w:ascii="Garamond" w:eastAsia="Garamond" w:hAnsi="Garamond" w:cs="Garamond"/>
        </w:rPr>
        <w:t xml:space="preserve"> hará las retenciones del caso y cumplirá con las obligaciones fiscales que ordene la ley.</w:t>
      </w:r>
    </w:p>
    <w:p w14:paraId="4BA2A388" w14:textId="77777777" w:rsidR="0022086B" w:rsidRPr="00C04C4B" w:rsidRDefault="0022086B">
      <w:pPr>
        <w:jc w:val="both"/>
        <w:rPr>
          <w:rFonts w:ascii="Garamond" w:eastAsia="Garamond" w:hAnsi="Garamond" w:cs="Garamond"/>
        </w:rPr>
      </w:pPr>
    </w:p>
    <w:p w14:paraId="39687CD0" w14:textId="77777777" w:rsidR="0022086B" w:rsidRPr="00C04C4B" w:rsidRDefault="0065443B">
      <w:pPr>
        <w:jc w:val="both"/>
        <w:rPr>
          <w:rFonts w:ascii="Garamond" w:eastAsia="Garamond" w:hAnsi="Garamond" w:cs="Garamond"/>
        </w:rPr>
      </w:pPr>
      <w:r w:rsidRPr="00C04C4B">
        <w:rPr>
          <w:rFonts w:ascii="Garamond" w:eastAsia="Garamond" w:hAnsi="Garamond" w:cs="Garamond"/>
        </w:rPr>
        <w:t xml:space="preserve">Nota: En caso de que el adjudicatario del contrato resultante de este proceso de selección opte por acogerse a los beneficios indicados en el artículo 114-1 del estatuto tributario, se hará necesario determinar el porcentaje de afectación incluido en el factor multiplicador de la propuesta económica presentada, con el de fin de establecer el costo no incurrido, monto el cual no será objeto de cobro al </w:t>
      </w:r>
      <w:proofErr w:type="spellStart"/>
      <w:r w:rsidRPr="00C04C4B">
        <w:rPr>
          <w:rFonts w:ascii="Garamond" w:eastAsia="Garamond" w:hAnsi="Garamond" w:cs="Garamond"/>
        </w:rPr>
        <w:t>FDLT</w:t>
      </w:r>
      <w:proofErr w:type="spellEnd"/>
      <w:r w:rsidRPr="00C04C4B">
        <w:rPr>
          <w:rFonts w:ascii="Garamond" w:eastAsia="Garamond" w:hAnsi="Garamond" w:cs="Garamond"/>
        </w:rPr>
        <w:t xml:space="preserve"> ni pago al contratista adjudicatario del proceso, por lo tanto el valor resultante deberá ser liberado a favor del </w:t>
      </w:r>
      <w:proofErr w:type="spellStart"/>
      <w:r w:rsidRPr="00C04C4B">
        <w:rPr>
          <w:rFonts w:ascii="Garamond" w:eastAsia="Garamond" w:hAnsi="Garamond" w:cs="Garamond"/>
        </w:rPr>
        <w:t>FDLT</w:t>
      </w:r>
      <w:proofErr w:type="spellEnd"/>
      <w:r w:rsidRPr="00C04C4B">
        <w:rPr>
          <w:rFonts w:ascii="Garamond" w:eastAsia="Garamond" w:hAnsi="Garamond" w:cs="Garamond"/>
        </w:rPr>
        <w:t>.</w:t>
      </w:r>
    </w:p>
    <w:p w14:paraId="7888FA52" w14:textId="77777777" w:rsidR="0022086B" w:rsidRPr="00C04C4B" w:rsidRDefault="0022086B">
      <w:pPr>
        <w:jc w:val="both"/>
        <w:rPr>
          <w:rFonts w:ascii="Garamond" w:eastAsia="Garamond" w:hAnsi="Garamond" w:cs="Garamond"/>
        </w:rPr>
      </w:pPr>
    </w:p>
    <w:p w14:paraId="39F815EC" w14:textId="77777777" w:rsidR="0022086B" w:rsidRPr="00C04C4B" w:rsidRDefault="0065443B">
      <w:pPr>
        <w:jc w:val="both"/>
        <w:rPr>
          <w:rFonts w:ascii="Garamond" w:eastAsia="Garamond" w:hAnsi="Garamond" w:cs="Garamond"/>
        </w:rPr>
      </w:pPr>
      <w:r w:rsidRPr="00C04C4B">
        <w:rPr>
          <w:rFonts w:ascii="Garamond" w:eastAsia="Garamond" w:hAnsi="Garamond" w:cs="Garamond"/>
        </w:rPr>
        <w:t>Requisitos Para Cada Pago:</w:t>
      </w:r>
    </w:p>
    <w:p w14:paraId="7D6DDB91" w14:textId="77777777" w:rsidR="0022086B" w:rsidRPr="00C04C4B" w:rsidRDefault="0022086B">
      <w:pPr>
        <w:jc w:val="both"/>
        <w:rPr>
          <w:rFonts w:ascii="Garamond" w:eastAsia="Garamond" w:hAnsi="Garamond" w:cs="Garamond"/>
        </w:rPr>
      </w:pPr>
    </w:p>
    <w:p w14:paraId="7A8D4BE6" w14:textId="77777777" w:rsidR="0022086B" w:rsidRPr="00C04C4B" w:rsidRDefault="0065443B">
      <w:pPr>
        <w:jc w:val="both"/>
        <w:rPr>
          <w:rFonts w:ascii="Garamond" w:eastAsia="Garamond" w:hAnsi="Garamond" w:cs="Garamond"/>
        </w:rPr>
      </w:pPr>
      <w:r w:rsidRPr="00C04C4B">
        <w:rPr>
          <w:rFonts w:ascii="Garamond" w:eastAsia="Garamond" w:hAnsi="Garamond" w:cs="Garamond"/>
        </w:rPr>
        <w:t>EL FONDO pagará, en mensualidades vencidas previa presentación Para cada uno de los pagos de los siguientes requisitos:</w:t>
      </w:r>
    </w:p>
    <w:p w14:paraId="19A5AB12" w14:textId="77777777" w:rsidR="0022086B" w:rsidRPr="00C04C4B" w:rsidRDefault="0022086B">
      <w:pPr>
        <w:jc w:val="both"/>
        <w:rPr>
          <w:rFonts w:ascii="Garamond" w:eastAsia="Garamond" w:hAnsi="Garamond" w:cs="Garamond"/>
        </w:rPr>
      </w:pPr>
    </w:p>
    <w:p w14:paraId="03A09667" w14:textId="77777777" w:rsidR="0022086B" w:rsidRPr="00C04C4B" w:rsidRDefault="0065443B" w:rsidP="00A23238">
      <w:pPr>
        <w:numPr>
          <w:ilvl w:val="0"/>
          <w:numId w:val="13"/>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Factura a nombre del Fondo de Desarrollo Local de Tunjuelito en original</w:t>
      </w:r>
    </w:p>
    <w:p w14:paraId="42B69E1F" w14:textId="77777777" w:rsidR="0022086B" w:rsidRPr="00C04C4B" w:rsidRDefault="0065443B" w:rsidP="00A23238">
      <w:pPr>
        <w:numPr>
          <w:ilvl w:val="0"/>
          <w:numId w:val="13"/>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Acta de obra, suscrita por el contratista y el interventor para los pagos relacionados en el numeral 3.</w:t>
      </w:r>
    </w:p>
    <w:p w14:paraId="72DCE7A5" w14:textId="77777777" w:rsidR="0022086B" w:rsidRPr="00C04C4B" w:rsidRDefault="0065443B" w:rsidP="00A23238">
      <w:pPr>
        <w:numPr>
          <w:ilvl w:val="0"/>
          <w:numId w:val="13"/>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Informe mensual de actividades firmado por el contratista y supervisor</w:t>
      </w:r>
    </w:p>
    <w:p w14:paraId="1FAFA3B9" w14:textId="77777777" w:rsidR="0022086B" w:rsidRPr="00C04C4B" w:rsidRDefault="0065443B" w:rsidP="00A23238">
      <w:pPr>
        <w:numPr>
          <w:ilvl w:val="0"/>
          <w:numId w:val="13"/>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 xml:space="preserve">Informe de gestión social y ambiental, </w:t>
      </w:r>
      <w:proofErr w:type="spellStart"/>
      <w:r w:rsidRPr="00C04C4B">
        <w:rPr>
          <w:rFonts w:ascii="Garamond" w:eastAsia="Garamond" w:hAnsi="Garamond" w:cs="Garamond"/>
          <w:color w:val="000000"/>
        </w:rPr>
        <w:t>SISOMA</w:t>
      </w:r>
      <w:proofErr w:type="spellEnd"/>
    </w:p>
    <w:p w14:paraId="3028B092" w14:textId="77777777" w:rsidR="0022086B" w:rsidRPr="00C04C4B" w:rsidRDefault="0065443B" w:rsidP="00A23238">
      <w:pPr>
        <w:numPr>
          <w:ilvl w:val="0"/>
          <w:numId w:val="13"/>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Certificado de cumplimiento y acta de recibo a satisfacción expedido por el interventor supervisor del contrato.</w:t>
      </w:r>
    </w:p>
    <w:p w14:paraId="240AAC01" w14:textId="77777777" w:rsidR="0022086B" w:rsidRPr="00C04C4B" w:rsidRDefault="0065443B" w:rsidP="00A23238">
      <w:pPr>
        <w:numPr>
          <w:ilvl w:val="0"/>
          <w:numId w:val="13"/>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Certificación suscrita por el representante legal o revisor fiscal, que acredite el cumplimiento del pago de aportes al sistema de seguridad social integral de los últimos seis (6) meses, de conformidad con el artículo 50 de la Ley 789 de 2002 o aquella que lo modifique, adicione o sustituya cuando se trate de personas jurídicas.</w:t>
      </w:r>
    </w:p>
    <w:p w14:paraId="48756978" w14:textId="77777777" w:rsidR="0022086B" w:rsidRPr="00C04C4B" w:rsidRDefault="0022086B">
      <w:pPr>
        <w:jc w:val="both"/>
        <w:rPr>
          <w:rFonts w:ascii="Garamond" w:eastAsia="Garamond" w:hAnsi="Garamond" w:cs="Garamond"/>
        </w:rPr>
      </w:pPr>
    </w:p>
    <w:p w14:paraId="5B5C08E5" w14:textId="77777777" w:rsidR="0022086B" w:rsidRPr="00C04C4B" w:rsidRDefault="0065443B">
      <w:pPr>
        <w:jc w:val="both"/>
        <w:rPr>
          <w:rFonts w:ascii="Garamond" w:eastAsia="Garamond" w:hAnsi="Garamond" w:cs="Garamond"/>
        </w:rPr>
      </w:pPr>
      <w:r w:rsidRPr="00C04C4B">
        <w:rPr>
          <w:rFonts w:ascii="Garamond" w:eastAsia="Garamond" w:hAnsi="Garamond" w:cs="Garamond"/>
        </w:rPr>
        <w:t>NOTA 1: Bajo ningún motivo o circunstancia autorizará y efectuará pagos a terceros.</w:t>
      </w:r>
    </w:p>
    <w:p w14:paraId="74CE0D09" w14:textId="77777777" w:rsidR="0022086B" w:rsidRPr="00C04C4B" w:rsidRDefault="0065443B">
      <w:pPr>
        <w:jc w:val="both"/>
        <w:rPr>
          <w:rFonts w:ascii="Garamond" w:eastAsia="Garamond" w:hAnsi="Garamond" w:cs="Garamond"/>
        </w:rPr>
      </w:pPr>
      <w:r w:rsidRPr="00C04C4B">
        <w:rPr>
          <w:rFonts w:ascii="Garamond" w:eastAsia="Garamond" w:hAnsi="Garamond" w:cs="Garamond"/>
        </w:rPr>
        <w:t>NOTA 2: Los PAGOS se harán a través de la consignación en la cuenta de ahorros o corriente que indique el CONTRATISTA, previo los descuentos de Ley.</w:t>
      </w:r>
    </w:p>
    <w:p w14:paraId="1FD6F5ED" w14:textId="77777777" w:rsidR="0022086B" w:rsidRPr="00C04C4B" w:rsidRDefault="0065443B">
      <w:pPr>
        <w:jc w:val="both"/>
        <w:rPr>
          <w:rFonts w:ascii="Garamond" w:eastAsia="Garamond" w:hAnsi="Garamond" w:cs="Garamond"/>
        </w:rPr>
      </w:pPr>
      <w:r w:rsidRPr="00C04C4B">
        <w:rPr>
          <w:rFonts w:ascii="Garamond" w:eastAsia="Garamond" w:hAnsi="Garamond" w:cs="Garamond"/>
        </w:rPr>
        <w:lastRenderedPageBreak/>
        <w:t>NOTA 3: Los pagos estarán sujetos al cumplimiento de todos requisitos exigidos para el pago</w:t>
      </w:r>
    </w:p>
    <w:p w14:paraId="14A54F0E" w14:textId="77777777" w:rsidR="0022086B" w:rsidRPr="00C04C4B" w:rsidRDefault="0065443B">
      <w:pPr>
        <w:jc w:val="both"/>
        <w:rPr>
          <w:rFonts w:ascii="Garamond" w:eastAsia="Garamond" w:hAnsi="Garamond" w:cs="Garamond"/>
        </w:rPr>
      </w:pPr>
      <w:r w:rsidRPr="00C04C4B">
        <w:rPr>
          <w:rFonts w:ascii="Garamond" w:eastAsia="Garamond" w:hAnsi="Garamond" w:cs="Garamond"/>
        </w:rPr>
        <w:t>NOTA 4: El valor del contrato incluye todos los costos directos e indirectos en que incurra le contratita, así como las tasas, impuestos, retenciones, contribuciones del orden nacional, distrital, departamental que incluya la presente contratación.</w:t>
      </w:r>
    </w:p>
    <w:p w14:paraId="24D68A47" w14:textId="77777777" w:rsidR="0022086B" w:rsidRPr="00C04C4B" w:rsidRDefault="0065443B">
      <w:pPr>
        <w:jc w:val="both"/>
        <w:rPr>
          <w:rFonts w:ascii="Garamond" w:eastAsia="Garamond" w:hAnsi="Garamond" w:cs="Garamond"/>
        </w:rPr>
      </w:pPr>
      <w:r w:rsidRPr="00C04C4B">
        <w:rPr>
          <w:rFonts w:ascii="Garamond" w:eastAsia="Garamond" w:hAnsi="Garamond" w:cs="Garamond"/>
        </w:rPr>
        <w:t>NOTA 5: El valor de la oferta deberá incluir los costos inherentes a la obligación de mantener durante la ejecución del contrato y terminación a satisfacción del Fondo de Desarrollo Local de Tunjuelito, todo el personal idóneo y calificado de directivos, profesionales, técnicos, administrativos y operario que se requieran.</w:t>
      </w:r>
    </w:p>
    <w:p w14:paraId="5583967D" w14:textId="77777777" w:rsidR="0022086B" w:rsidRPr="00C04C4B" w:rsidRDefault="0065443B">
      <w:pPr>
        <w:jc w:val="both"/>
        <w:rPr>
          <w:rFonts w:ascii="Garamond" w:eastAsia="Garamond" w:hAnsi="Garamond" w:cs="Garamond"/>
        </w:rPr>
      </w:pPr>
      <w:r w:rsidRPr="00C04C4B">
        <w:rPr>
          <w:rFonts w:ascii="Garamond" w:eastAsia="Garamond" w:hAnsi="Garamond" w:cs="Garamond"/>
        </w:rPr>
        <w:t>NOTA 6: El Proponente deberá tener en cuenta que todos los impuestos y contribuciones del orden distrital y nacional deberán ser contemplados dentro de los valores de la propuesta. En caso de omisión el FONDO lo entenderá incluido en el valor de la propuesta. Los precios de la propuesta deben mantenerse en firme a partir de la presentación de la oferta.</w:t>
      </w:r>
    </w:p>
    <w:p w14:paraId="34312B4D" w14:textId="77777777" w:rsidR="0022086B" w:rsidRPr="00C04C4B" w:rsidRDefault="0065443B">
      <w:pPr>
        <w:jc w:val="both"/>
        <w:rPr>
          <w:rFonts w:ascii="Garamond" w:eastAsia="Garamond" w:hAnsi="Garamond" w:cs="Garamond"/>
        </w:rPr>
      </w:pPr>
      <w:r w:rsidRPr="00C04C4B">
        <w:rPr>
          <w:rFonts w:ascii="Garamond" w:eastAsia="Garamond" w:hAnsi="Garamond" w:cs="Garamond"/>
        </w:rPr>
        <w:t>NOTA 7: El oferente debe indicar en su oferta que acepta la forma de pago propuesta por el Fondo de Desarrollo Local. Serán de cargo del proponente todos los costos asociados a la preparación y elaboración de su propuesta.</w:t>
      </w:r>
    </w:p>
    <w:p w14:paraId="5D570668" w14:textId="77777777" w:rsidR="0022086B" w:rsidRPr="00C04C4B" w:rsidRDefault="0065443B">
      <w:pPr>
        <w:jc w:val="both"/>
        <w:rPr>
          <w:rFonts w:ascii="Garamond" w:eastAsia="Garamond" w:hAnsi="Garamond" w:cs="Garamond"/>
        </w:rPr>
      </w:pPr>
      <w:r w:rsidRPr="00C04C4B">
        <w:rPr>
          <w:rFonts w:ascii="Garamond" w:eastAsia="Garamond" w:hAnsi="Garamond" w:cs="Garamond"/>
        </w:rPr>
        <w:t>NOTA 8: En caso de que se presente mayor permanencia en obra por causales no imputables al interventor, se dará aplicación a lo estipulado en la Ley 1474 de 2011, que en su artículo 85 establece que:</w:t>
      </w:r>
    </w:p>
    <w:p w14:paraId="6E9DB106" w14:textId="77777777" w:rsidR="0022086B" w:rsidRPr="00C04C4B" w:rsidRDefault="0022086B">
      <w:pPr>
        <w:jc w:val="both"/>
        <w:rPr>
          <w:rFonts w:ascii="Garamond" w:eastAsia="Garamond" w:hAnsi="Garamond" w:cs="Garamond"/>
        </w:rPr>
      </w:pPr>
    </w:p>
    <w:p w14:paraId="329D2CF0" w14:textId="77777777" w:rsidR="0022086B" w:rsidRPr="00C04C4B" w:rsidRDefault="0065443B">
      <w:pPr>
        <w:jc w:val="both"/>
        <w:rPr>
          <w:rFonts w:ascii="Garamond" w:eastAsia="Garamond" w:hAnsi="Garamond" w:cs="Garamond"/>
        </w:rPr>
      </w:pPr>
      <w:r w:rsidRPr="00C04C4B">
        <w:rPr>
          <w:rFonts w:ascii="Garamond" w:eastAsia="Garamond" w:hAnsi="Garamond" w:cs="Garamond"/>
        </w:rPr>
        <w:t>ARTÍCULO. ARTÍCULO 85. CONTINUIDAD DE LA INTERVENTORÍA. Los contratos de interventoría podrán prorrogarse por el mismo plazo que se haya prorrogado el contrato objeto de vigilancia. En tal caso el valor podrá ajustarse en atención a las obligaciones del objeto de interventoría, sin que resulte aplicable lo dispuesto en el parágrafo del artículo 40 de la Ley 80 de 1993.</w:t>
      </w:r>
    </w:p>
    <w:p w14:paraId="52D1D378" w14:textId="77777777" w:rsidR="0022086B" w:rsidRPr="00C04C4B" w:rsidRDefault="0022086B">
      <w:pPr>
        <w:jc w:val="both"/>
        <w:rPr>
          <w:rFonts w:ascii="Garamond" w:eastAsia="Garamond" w:hAnsi="Garamond" w:cs="Garamond"/>
        </w:rPr>
      </w:pPr>
    </w:p>
    <w:p w14:paraId="56AA8C17" w14:textId="77777777" w:rsidR="0022086B" w:rsidRPr="00C04C4B" w:rsidRDefault="0065443B">
      <w:pPr>
        <w:jc w:val="both"/>
        <w:rPr>
          <w:rFonts w:ascii="Garamond" w:eastAsia="Garamond" w:hAnsi="Garamond" w:cs="Garamond"/>
          <w:b/>
        </w:rPr>
      </w:pPr>
      <w:r w:rsidRPr="00C04C4B">
        <w:rPr>
          <w:rFonts w:ascii="Garamond" w:eastAsia="Garamond" w:hAnsi="Garamond" w:cs="Garamond"/>
          <w:b/>
        </w:rPr>
        <w:t>9.4. OBLIGACIONES GENERALES DEL CONTRATISTA</w:t>
      </w:r>
    </w:p>
    <w:p w14:paraId="67CD44F7" w14:textId="77777777" w:rsidR="0022086B" w:rsidRPr="00C04C4B" w:rsidRDefault="0022086B">
      <w:pPr>
        <w:jc w:val="both"/>
        <w:rPr>
          <w:rFonts w:ascii="Garamond" w:eastAsia="Garamond" w:hAnsi="Garamond" w:cs="Garamond"/>
        </w:rPr>
      </w:pPr>
    </w:p>
    <w:p w14:paraId="48DBA62D" w14:textId="77777777" w:rsidR="0022086B" w:rsidRPr="00C04C4B" w:rsidRDefault="0065443B" w:rsidP="00A23238">
      <w:pPr>
        <w:numPr>
          <w:ilvl w:val="0"/>
          <w:numId w:val="4"/>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Suscribir oportunamente el acta de inicio y el acta de liquidación del contrato, conjuntamente con el/la interventoría/a del mismo, cuando corresponda.</w:t>
      </w:r>
    </w:p>
    <w:p w14:paraId="2D82DC26" w14:textId="77777777" w:rsidR="0022086B" w:rsidRPr="00C04C4B" w:rsidRDefault="0065443B" w:rsidP="00A23238">
      <w:pPr>
        <w:numPr>
          <w:ilvl w:val="0"/>
          <w:numId w:val="4"/>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Entregar al interventor los documentos elaborados en cumplimiento de las obligaciones contractuales, así como los informes y archivos a su cargo, requeridos sobre las actividades realizadas durante la ejecución del mismo (Cuando aplique).</w:t>
      </w:r>
    </w:p>
    <w:p w14:paraId="10446271" w14:textId="77777777" w:rsidR="0022086B" w:rsidRPr="00C04C4B" w:rsidRDefault="0065443B" w:rsidP="00A23238">
      <w:pPr>
        <w:numPr>
          <w:ilvl w:val="0"/>
          <w:numId w:val="4"/>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Dar aplicación a los subsistemas que componen el Sistema Integrado de Gestión adoptados por la Secretaría Distrital de Gobierno.</w:t>
      </w:r>
    </w:p>
    <w:p w14:paraId="2A814B37" w14:textId="77777777" w:rsidR="0022086B" w:rsidRPr="00C04C4B" w:rsidRDefault="0065443B" w:rsidP="00A23238">
      <w:pPr>
        <w:numPr>
          <w:ilvl w:val="0"/>
          <w:numId w:val="4"/>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Mantener estricta reserva y confidencialidad sobre la información que conozca por causa o con ocasión del contrato, así como, respetar la titularidad de los derechos de autor, en relación con los documentos, obras, creaciones que se desarrollen en ejecución del contrato.</w:t>
      </w:r>
    </w:p>
    <w:p w14:paraId="3D2F3F5E" w14:textId="77777777" w:rsidR="0022086B" w:rsidRPr="00C04C4B" w:rsidRDefault="0065443B" w:rsidP="00A23238">
      <w:pPr>
        <w:numPr>
          <w:ilvl w:val="0"/>
          <w:numId w:val="4"/>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Dar estricto cumplimiento al Ideario Ético del Distrito expedido por la Alcaldía Mayor de Bogotá D.C., así como a todas las normas que en materia de ética y valores expida la Secretaria Distrital de Gobierno en la ejecución del contrato.</w:t>
      </w:r>
    </w:p>
    <w:p w14:paraId="589ED070" w14:textId="77777777" w:rsidR="0022086B" w:rsidRPr="00C04C4B" w:rsidRDefault="0065443B" w:rsidP="00A23238">
      <w:pPr>
        <w:numPr>
          <w:ilvl w:val="0"/>
          <w:numId w:val="4"/>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No instalar ni utilizar ningún software sin la autorización previa y escrita de la Dirección de Tecnologías e Información, así mismo, responder y hacer buen uso de los bienes y recursos tecnológicos (hardware y software), hacer entrega de los mismos en el estado en que los recibió, salvo el deterioro normal, o daños ocasionados por el caso fortuito o fuerza mayor, (cuando aplique).</w:t>
      </w:r>
    </w:p>
    <w:p w14:paraId="5FAF49FA" w14:textId="77777777" w:rsidR="0022086B" w:rsidRPr="00C04C4B" w:rsidRDefault="0065443B" w:rsidP="00A23238">
      <w:pPr>
        <w:numPr>
          <w:ilvl w:val="0"/>
          <w:numId w:val="4"/>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lastRenderedPageBreak/>
        <w:t>Cuando se trate de personas naturales, realizar el pago de los aportes al régimen de seguridad social, en proporción al valor mensual del contrato, y entregar copia de la planilla correspondiente al supervisor del contrato para cada pago.</w:t>
      </w:r>
    </w:p>
    <w:p w14:paraId="62B5EE3C" w14:textId="77777777" w:rsidR="0022086B" w:rsidRPr="00C04C4B" w:rsidRDefault="0065443B" w:rsidP="00A23238">
      <w:pPr>
        <w:numPr>
          <w:ilvl w:val="0"/>
          <w:numId w:val="4"/>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Cuando se trate de personas jurídicas, entregar para cada pago, la certificación suscrita por el representante legal o revisor fiscal,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w:t>
      </w:r>
    </w:p>
    <w:p w14:paraId="78815BA5" w14:textId="77777777" w:rsidR="0022086B" w:rsidRPr="00C04C4B" w:rsidRDefault="0065443B" w:rsidP="00A23238">
      <w:pPr>
        <w:numPr>
          <w:ilvl w:val="0"/>
          <w:numId w:val="4"/>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Utilizar de manera racional los recursos energéticos e hídricos de las instalaciones donde ejecuta sus actividades; así mismo realizar uso eficiente de los materiales e insumos; efectuar el manejo y disposición adecuada de los residuos sólidos ordinarios, peligrosos, especiales; igualmente realizar control y tratamiento de vertimientos y emisiones atmosféricas que se generen en ejercicio de las actividades derivadas de la ejecución del contrato.</w:t>
      </w:r>
    </w:p>
    <w:p w14:paraId="15A5BFB5" w14:textId="77777777" w:rsidR="0022086B" w:rsidRPr="00C04C4B" w:rsidRDefault="0065443B" w:rsidP="00A23238">
      <w:pPr>
        <w:numPr>
          <w:ilvl w:val="0"/>
          <w:numId w:val="4"/>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Facilitar al interventor y/o supervisor todas las evidencias que soporten el cumplimiento normativo ambiental y la aplicación de criterios ambientales, según lo establecido en la guía de contratación sostenible de la entidad y las fichas ambientales del manual de compras públicas del Ministerio de Ambiente y Desarrollo Sostenible.</w:t>
      </w:r>
    </w:p>
    <w:p w14:paraId="12B8327C" w14:textId="77777777" w:rsidR="0022086B" w:rsidRPr="00C04C4B" w:rsidRDefault="0022086B">
      <w:pPr>
        <w:pBdr>
          <w:top w:val="nil"/>
          <w:left w:val="nil"/>
          <w:bottom w:val="nil"/>
          <w:right w:val="nil"/>
          <w:between w:val="nil"/>
        </w:pBdr>
        <w:ind w:left="720"/>
        <w:jc w:val="both"/>
        <w:rPr>
          <w:rFonts w:ascii="Garamond" w:eastAsia="Garamond" w:hAnsi="Garamond" w:cs="Garamond"/>
          <w:color w:val="000000"/>
        </w:rPr>
      </w:pPr>
    </w:p>
    <w:p w14:paraId="3F758D92" w14:textId="77777777" w:rsidR="0022086B" w:rsidRPr="00C04C4B" w:rsidRDefault="0065443B">
      <w:pPr>
        <w:jc w:val="both"/>
        <w:rPr>
          <w:rFonts w:ascii="Garamond" w:eastAsia="Garamond" w:hAnsi="Garamond" w:cs="Garamond"/>
          <w:b/>
        </w:rPr>
      </w:pPr>
      <w:r w:rsidRPr="00C04C4B">
        <w:rPr>
          <w:rFonts w:ascii="Garamond" w:eastAsia="Garamond" w:hAnsi="Garamond" w:cs="Garamond"/>
          <w:b/>
        </w:rPr>
        <w:t>9.5. OBLIGACIONES ESPECÍFICAS</w:t>
      </w:r>
    </w:p>
    <w:p w14:paraId="1BC501AB" w14:textId="77777777" w:rsidR="0022086B" w:rsidRPr="00C04C4B" w:rsidRDefault="0022086B">
      <w:pPr>
        <w:jc w:val="both"/>
        <w:rPr>
          <w:rFonts w:ascii="Garamond" w:eastAsia="Garamond" w:hAnsi="Garamond" w:cs="Garamond"/>
        </w:rPr>
      </w:pPr>
    </w:p>
    <w:p w14:paraId="6FDDB89D" w14:textId="77777777" w:rsidR="0022086B" w:rsidRPr="00C04C4B" w:rsidRDefault="0065443B">
      <w:pPr>
        <w:jc w:val="both"/>
        <w:rPr>
          <w:rFonts w:ascii="Garamond" w:eastAsia="Garamond" w:hAnsi="Garamond" w:cs="Garamond"/>
        </w:rPr>
      </w:pPr>
      <w:r w:rsidRPr="00C04C4B">
        <w:rPr>
          <w:rFonts w:ascii="Garamond" w:eastAsia="Garamond" w:hAnsi="Garamond" w:cs="Garamond"/>
        </w:rPr>
        <w:t xml:space="preserve">Previo a la suscripción del acta de inicio, y como requisito a ésta, se deberá haber suscrito el contrato y haber constituido y entregado al Fondo de Desarrollo Local de TUNJUELITO </w:t>
      </w:r>
      <w:proofErr w:type="spellStart"/>
      <w:r w:rsidRPr="00C04C4B">
        <w:rPr>
          <w:rFonts w:ascii="Garamond" w:eastAsia="Garamond" w:hAnsi="Garamond" w:cs="Garamond"/>
        </w:rPr>
        <w:t>FDLT</w:t>
      </w:r>
      <w:proofErr w:type="spellEnd"/>
      <w:r w:rsidRPr="00C04C4B">
        <w:rPr>
          <w:rFonts w:ascii="Garamond" w:eastAsia="Garamond" w:hAnsi="Garamond" w:cs="Garamond"/>
        </w:rPr>
        <w:t xml:space="preserve"> la garantía única de cumplimiento y las demás garantías exigidas para este contrato y haber obtenido la aprobación de estas por parte del Fondo de Desarrollo Local de TUNJUELITO </w:t>
      </w:r>
      <w:proofErr w:type="spellStart"/>
      <w:r w:rsidRPr="00C04C4B">
        <w:rPr>
          <w:rFonts w:ascii="Garamond" w:eastAsia="Garamond" w:hAnsi="Garamond" w:cs="Garamond"/>
        </w:rPr>
        <w:t>FDLT</w:t>
      </w:r>
      <w:proofErr w:type="spellEnd"/>
      <w:r w:rsidRPr="00C04C4B">
        <w:rPr>
          <w:rFonts w:ascii="Garamond" w:eastAsia="Garamond" w:hAnsi="Garamond" w:cs="Garamond"/>
        </w:rPr>
        <w:t>.</w:t>
      </w:r>
    </w:p>
    <w:p w14:paraId="2800416B" w14:textId="77777777" w:rsidR="0022086B" w:rsidRPr="00C04C4B" w:rsidRDefault="0022086B">
      <w:pPr>
        <w:jc w:val="both"/>
        <w:rPr>
          <w:rFonts w:ascii="Garamond" w:eastAsia="Garamond" w:hAnsi="Garamond" w:cs="Garamond"/>
        </w:rPr>
      </w:pPr>
    </w:p>
    <w:p w14:paraId="2CDA6C61" w14:textId="77777777" w:rsidR="0022086B" w:rsidRPr="00C04C4B" w:rsidRDefault="0065443B">
      <w:pPr>
        <w:jc w:val="both"/>
        <w:rPr>
          <w:rFonts w:ascii="Garamond" w:eastAsia="Garamond" w:hAnsi="Garamond" w:cs="Garamond"/>
        </w:rPr>
      </w:pPr>
      <w:r w:rsidRPr="00C04C4B">
        <w:rPr>
          <w:rFonts w:ascii="Garamond" w:eastAsia="Garamond" w:hAnsi="Garamond" w:cs="Garamond"/>
        </w:rPr>
        <w:t xml:space="preserve">Remitir al Fondo de Desarrollo Local de TUNJUELITO </w:t>
      </w:r>
      <w:proofErr w:type="spellStart"/>
      <w:r w:rsidRPr="00C04C4B">
        <w:rPr>
          <w:rFonts w:ascii="Garamond" w:eastAsia="Garamond" w:hAnsi="Garamond" w:cs="Garamond"/>
        </w:rPr>
        <w:t>FDLT</w:t>
      </w:r>
      <w:proofErr w:type="spellEnd"/>
      <w:r w:rsidRPr="00C04C4B">
        <w:rPr>
          <w:rFonts w:ascii="Garamond" w:eastAsia="Garamond" w:hAnsi="Garamond" w:cs="Garamond"/>
        </w:rPr>
        <w:t xml:space="preserve"> el desglose de la oferta, según formato de matriz de cálculo de la Entidad.</w:t>
      </w:r>
    </w:p>
    <w:p w14:paraId="527C9C28" w14:textId="77777777" w:rsidR="0022086B" w:rsidRPr="00C04C4B" w:rsidRDefault="0022086B">
      <w:pPr>
        <w:jc w:val="both"/>
        <w:rPr>
          <w:rFonts w:ascii="Garamond" w:eastAsia="Garamond" w:hAnsi="Garamond" w:cs="Garamond"/>
        </w:rPr>
      </w:pPr>
    </w:p>
    <w:p w14:paraId="117F78FC" w14:textId="77777777" w:rsidR="0022086B" w:rsidRPr="00C04C4B" w:rsidRDefault="0065443B">
      <w:pPr>
        <w:jc w:val="both"/>
        <w:rPr>
          <w:rFonts w:ascii="Garamond" w:eastAsia="Garamond" w:hAnsi="Garamond" w:cs="Garamond"/>
        </w:rPr>
      </w:pPr>
      <w:r w:rsidRPr="00C04C4B">
        <w:rPr>
          <w:rFonts w:ascii="Garamond" w:eastAsia="Garamond" w:hAnsi="Garamond" w:cs="Garamond"/>
        </w:rPr>
        <w:t>Presentar a la supervisión para su revisión y aprobación el Cronograma General del Proyecto el cual deberá incluir las actividades a desarrollar, el alcance estimado inicial de las metas físicas a diseñar en donde se evidencien los trámites y tiempos requeridos para su cumplimiento.</w:t>
      </w:r>
    </w:p>
    <w:p w14:paraId="625115D7" w14:textId="77777777" w:rsidR="0022086B" w:rsidRPr="00C04C4B" w:rsidRDefault="0022086B">
      <w:pPr>
        <w:jc w:val="both"/>
        <w:rPr>
          <w:rFonts w:ascii="Garamond" w:eastAsia="Garamond" w:hAnsi="Garamond" w:cs="Garamond"/>
        </w:rPr>
      </w:pPr>
    </w:p>
    <w:p w14:paraId="5BBFBF15" w14:textId="77777777" w:rsidR="0022086B" w:rsidRPr="00C04C4B" w:rsidRDefault="0065443B">
      <w:pPr>
        <w:jc w:val="both"/>
        <w:rPr>
          <w:rFonts w:ascii="Garamond" w:eastAsia="Garamond" w:hAnsi="Garamond" w:cs="Garamond"/>
        </w:rPr>
      </w:pPr>
      <w:r w:rsidRPr="00C04C4B">
        <w:rPr>
          <w:rFonts w:ascii="Garamond" w:eastAsia="Garamond" w:hAnsi="Garamond" w:cs="Garamond"/>
        </w:rPr>
        <w:t>El contratista, deberá presentar a la supervisión y obtener su aprobación en un término no mayor a CINCO (05) DÍAS después del perfeccionamiento y legalización del contrato, de las hojas de vida del recurso humano requerido contractualmente, con el fin de verificar que se cumpla con lo establecido en el pliego de condiciones.</w:t>
      </w:r>
    </w:p>
    <w:p w14:paraId="66126AA2" w14:textId="77777777" w:rsidR="0022086B" w:rsidRPr="00C04C4B" w:rsidRDefault="0022086B">
      <w:pPr>
        <w:jc w:val="both"/>
        <w:rPr>
          <w:rFonts w:ascii="Garamond" w:eastAsia="Garamond" w:hAnsi="Garamond" w:cs="Garamond"/>
        </w:rPr>
      </w:pPr>
    </w:p>
    <w:p w14:paraId="6B91B92B" w14:textId="77777777" w:rsidR="0022086B" w:rsidRPr="00C04C4B" w:rsidRDefault="0065443B">
      <w:pPr>
        <w:jc w:val="both"/>
        <w:rPr>
          <w:rFonts w:ascii="Garamond" w:eastAsia="Garamond" w:hAnsi="Garamond" w:cs="Garamond"/>
        </w:rPr>
      </w:pPr>
      <w:r w:rsidRPr="00C04C4B">
        <w:rPr>
          <w:rFonts w:ascii="Garamond" w:eastAsia="Garamond" w:hAnsi="Garamond" w:cs="Garamond"/>
        </w:rPr>
        <w:t>Velar por el cumplimiento normativo ambiental y el cumplimiento de todos los aspectos ambientales establecidos en la ley, así como la evidencia de los soportes.</w:t>
      </w:r>
    </w:p>
    <w:p w14:paraId="50798B2D" w14:textId="77777777" w:rsidR="0022086B" w:rsidRPr="00C04C4B" w:rsidRDefault="0022086B">
      <w:pPr>
        <w:jc w:val="both"/>
        <w:rPr>
          <w:rFonts w:ascii="Garamond" w:eastAsia="Garamond" w:hAnsi="Garamond" w:cs="Garamond"/>
        </w:rPr>
      </w:pPr>
    </w:p>
    <w:p w14:paraId="61DD0E32" w14:textId="77777777" w:rsidR="0022086B" w:rsidRPr="00C04C4B" w:rsidRDefault="0065443B">
      <w:pPr>
        <w:jc w:val="both"/>
        <w:rPr>
          <w:rFonts w:ascii="Garamond" w:eastAsia="Garamond" w:hAnsi="Garamond" w:cs="Garamond"/>
        </w:rPr>
      </w:pPr>
      <w:r w:rsidRPr="00C04C4B">
        <w:rPr>
          <w:rFonts w:ascii="Garamond" w:eastAsia="Garamond" w:hAnsi="Garamond" w:cs="Garamond"/>
        </w:rPr>
        <w:t>El contratista se compromete a entregar un informe técnico y presupuestal al finalizar el plazo de ejecución del contrato.</w:t>
      </w:r>
    </w:p>
    <w:p w14:paraId="78766DA0" w14:textId="77777777" w:rsidR="0022086B" w:rsidRPr="00C04C4B" w:rsidRDefault="0022086B">
      <w:pPr>
        <w:jc w:val="both"/>
        <w:rPr>
          <w:rFonts w:ascii="Garamond" w:eastAsia="Garamond" w:hAnsi="Garamond" w:cs="Garamond"/>
        </w:rPr>
      </w:pPr>
    </w:p>
    <w:p w14:paraId="72588EAE" w14:textId="77777777" w:rsidR="0022086B" w:rsidRPr="00C04C4B" w:rsidRDefault="0065443B">
      <w:pPr>
        <w:jc w:val="both"/>
        <w:rPr>
          <w:rFonts w:ascii="Garamond" w:eastAsia="Garamond" w:hAnsi="Garamond" w:cs="Garamond"/>
        </w:rPr>
      </w:pPr>
      <w:r w:rsidRPr="00C04C4B">
        <w:rPr>
          <w:rFonts w:ascii="Garamond" w:eastAsia="Garamond" w:hAnsi="Garamond" w:cs="Garamond"/>
        </w:rPr>
        <w:t>Una vez cumplido lo anterior se procederá a la firma del ACTA DE INICIO, la cual deberá realizase dentro de los DIEZ (10) DÍAS siguientes a la aprobación de la garantía del contrato de consultoría. Cuando el contrato de interventoría sea celebrado con posterioridad al contrato de consultoría, los 10 días para la suscripción del acta de inicio en el contrato de consultoría, deberán ajustarse a la suscripción del contrato de interventoría. La no presentación de dicha documentación en los plazos estipulados en el contrato dará lugar a las sanciones previstas en el presente proceso.</w:t>
      </w:r>
    </w:p>
    <w:p w14:paraId="4A669748" w14:textId="77777777" w:rsidR="0022086B" w:rsidRPr="00C04C4B" w:rsidRDefault="0022086B">
      <w:pPr>
        <w:jc w:val="both"/>
        <w:rPr>
          <w:rFonts w:ascii="Garamond" w:eastAsia="Garamond" w:hAnsi="Garamond" w:cs="Garamond"/>
        </w:rPr>
      </w:pPr>
    </w:p>
    <w:p w14:paraId="5CC6788D" w14:textId="77777777" w:rsidR="0022086B" w:rsidRPr="00C04C4B" w:rsidRDefault="0065443B">
      <w:pPr>
        <w:jc w:val="both"/>
        <w:rPr>
          <w:rFonts w:ascii="Garamond" w:eastAsia="Garamond" w:hAnsi="Garamond" w:cs="Garamond"/>
          <w:b/>
        </w:rPr>
      </w:pPr>
      <w:r w:rsidRPr="00C04C4B">
        <w:rPr>
          <w:rFonts w:ascii="Garamond" w:eastAsia="Garamond" w:hAnsi="Garamond" w:cs="Garamond"/>
          <w:b/>
        </w:rPr>
        <w:t>9.6. OBLIGACIONES DEL INTERVENTOR EN LA EJECUCIÓN:</w:t>
      </w:r>
    </w:p>
    <w:p w14:paraId="450B996E" w14:textId="77777777" w:rsidR="0022086B" w:rsidRPr="00C04C4B" w:rsidRDefault="0022086B">
      <w:pPr>
        <w:jc w:val="both"/>
        <w:rPr>
          <w:rFonts w:ascii="Garamond" w:eastAsia="Garamond" w:hAnsi="Garamond" w:cs="Garamond"/>
        </w:rPr>
      </w:pPr>
    </w:p>
    <w:p w14:paraId="6909F37D"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Cumplir con todos los ofrecimientos contenidos en la propuesta que forma parte integrante del presente contrato.</w:t>
      </w:r>
    </w:p>
    <w:p w14:paraId="3DCEFD25" w14:textId="77777777" w:rsidR="0022086B" w:rsidRPr="00C04C4B" w:rsidRDefault="0022086B">
      <w:pPr>
        <w:jc w:val="both"/>
        <w:rPr>
          <w:rFonts w:ascii="Garamond" w:eastAsia="Garamond" w:hAnsi="Garamond" w:cs="Garamond"/>
        </w:rPr>
      </w:pPr>
    </w:p>
    <w:p w14:paraId="48D23C26"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 xml:space="preserve">Informar oportunamente al </w:t>
      </w:r>
      <w:proofErr w:type="spellStart"/>
      <w:r w:rsidRPr="00C04C4B">
        <w:rPr>
          <w:rFonts w:ascii="Garamond" w:eastAsia="Garamond" w:hAnsi="Garamond" w:cs="Garamond"/>
          <w:color w:val="000000"/>
        </w:rPr>
        <w:t>FDLT</w:t>
      </w:r>
      <w:proofErr w:type="spellEnd"/>
      <w:r w:rsidRPr="00C04C4B">
        <w:rPr>
          <w:rFonts w:ascii="Garamond" w:eastAsia="Garamond" w:hAnsi="Garamond" w:cs="Garamond"/>
          <w:color w:val="000000"/>
        </w:rPr>
        <w:t xml:space="preserve"> de cualquier circunstancia que ponga en peligro la ejecución del contrato.</w:t>
      </w:r>
    </w:p>
    <w:p w14:paraId="445A5120"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Acatar las observaciones del supervisor del contrato.</w:t>
      </w:r>
    </w:p>
    <w:p w14:paraId="57E711DD"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Constituir las garantías.</w:t>
      </w:r>
    </w:p>
    <w:p w14:paraId="56A531F0"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Mantener durante todo el plazo del contrato los precios de los insumos, actividades, personal y, en general, de todos los servicios que ofreció en la propuesta.</w:t>
      </w:r>
    </w:p>
    <w:p w14:paraId="1A79982F"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Contratar y mantener al personal mínimo señalado en los pliegos de condiciones.</w:t>
      </w:r>
    </w:p>
    <w:p w14:paraId="45D00E4D"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Cumplir con las leyes, decretos, acuerdos, resoluciones o reglamentos o cualquier acto de autoridad nacional o distrital vigente que tenga relación con el objeto del presente contrato. En caso de que cualquiera de las disposiciones normativas antes mencionadas ocasione gastos o costos no previstos, éstos serán a cargo del contratista.</w:t>
      </w:r>
    </w:p>
    <w:p w14:paraId="59C187E6"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Cumplir con las obligaciones de pagos al sistema general de seguridad social y/o parafiscales durante la ejecución del contrato en caso de ser persona natural o jurídica y tener personal a cargo.</w:t>
      </w:r>
    </w:p>
    <w:p w14:paraId="708759EB"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Revisar y analizar en forma completa y detallada el contrato de obra, los estudios previos, las normas y reglamentaciones aplicables a la ejecución del mismo, es decir, toda la documentación que tenga relación con el contrato de obra y su ejecución, así como formular las sugerencias a que haya lugar y en el evento de tener alguna duda sobre el alcance de lo señalado en los documentos, solicitar las aclaraciones correspondientes.</w:t>
      </w:r>
    </w:p>
    <w:p w14:paraId="139184A2"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Definir los mecanismos de coordinación que considere pertinentes.</w:t>
      </w:r>
    </w:p>
    <w:p w14:paraId="509A02DB"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Revisar, solicitar ajustes o aprobar y controlar la planeación de labores y cronogramas de actividades, presentados por el contratista de obra cuando a ello haya lugar, o requerir su presentación para aprobación si fuere el caso.</w:t>
      </w:r>
    </w:p>
    <w:p w14:paraId="3F6C7AC1"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Verificar que existan las licencias y permisos necesarios y que se encuentren vigentes para la iniciación del desarrollo del contrato de obra.</w:t>
      </w:r>
    </w:p>
    <w:p w14:paraId="3FAE06DE"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Verificar, para la suscripción del acta de iniciación del Contrato de Obra, que las garantías constituidas y aprobadas cumplan a la fecha de iniciación con las condiciones exigidas y solicitar a los contratistas de obra su respectiva modificación, cuando haya lugar a ello.</w:t>
      </w:r>
    </w:p>
    <w:p w14:paraId="124A5ACD"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 xml:space="preserve">Verificar y controlar permanentemente el cumplimiento de las normas de calidad y especificaciones </w:t>
      </w:r>
      <w:r w:rsidRPr="00C04C4B">
        <w:rPr>
          <w:rFonts w:ascii="Garamond" w:eastAsia="Garamond" w:hAnsi="Garamond" w:cs="Garamond"/>
          <w:color w:val="000000"/>
        </w:rPr>
        <w:lastRenderedPageBreak/>
        <w:t>técnicas del objeto contratado, establecidas por la Entidad en el contrato de obra y demás documentos contractuales.</w:t>
      </w:r>
    </w:p>
    <w:p w14:paraId="498A3061"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Exigir a los contratistas la corrección de las obras, servicios o reposición de elementos que no cumplan con lo requerido.</w:t>
      </w:r>
    </w:p>
    <w:p w14:paraId="556EE522"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Estudiar, conceptuar sobre la viabilidad técnica, legal y financiera y solicitar las modificaciones al contrato de obra que sean pertinentes, previa justificación por parte del Contratista.</w:t>
      </w:r>
    </w:p>
    <w:p w14:paraId="1A5938C6"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Controlar e informar periódicamente a la entidad sobre el avance del contrato de obra con base en el plazo del mismo, así como proponer las acciones y los ajustes periódicos que sean necesarios para dar cumplimiento a dicho contrato.</w:t>
      </w:r>
    </w:p>
    <w:p w14:paraId="6BE3BB39"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 xml:space="preserve">Suministrar a los contratistas de obra todos los detalles, especificaciones técnicas, etc. necesarios, que deban utilizar en la ejecución de los contratos, llevando el respectivo registro de </w:t>
      </w:r>
      <w:proofErr w:type="spellStart"/>
      <w:r w:rsidRPr="00C04C4B">
        <w:rPr>
          <w:rFonts w:ascii="Garamond" w:eastAsia="Garamond" w:hAnsi="Garamond" w:cs="Garamond"/>
          <w:color w:val="000000"/>
        </w:rPr>
        <w:t>documentosvigentes</w:t>
      </w:r>
      <w:proofErr w:type="spellEnd"/>
      <w:r w:rsidRPr="00C04C4B">
        <w:rPr>
          <w:rFonts w:ascii="Garamond" w:eastAsia="Garamond" w:hAnsi="Garamond" w:cs="Garamond"/>
          <w:color w:val="000000"/>
        </w:rPr>
        <w:t>.</w:t>
      </w:r>
    </w:p>
    <w:p w14:paraId="1A927BDC"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Atender y resolver consultas sobre la correcta interpretación de las especificaciones, y sobre los errores u omisiones que éstos puedan contener.</w:t>
      </w:r>
    </w:p>
    <w:p w14:paraId="00A66E08"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Revisar y aprobar los programas de: Ejecución, inversión, personal, equipos, etc. cuando aplique contractualmente.</w:t>
      </w:r>
    </w:p>
    <w:p w14:paraId="0BD7EAD9"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Solicitar a los contratistas de obras la modificación de las garantías cuando así se requiera, velando por que éstas se mantengan conforme a las condiciones exigidas en el contrato.</w:t>
      </w:r>
    </w:p>
    <w:p w14:paraId="75593450"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Requerir a los contratistas de obra para que den cumplimiento a las obligaciones que no estén ejecutando de conformidad con lo previsto en los contratos.</w:t>
      </w:r>
    </w:p>
    <w:p w14:paraId="7A38D037"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Comprobar y aprobar que los elementos ofrecidos y entregados por los contratistas, cumplan con las condiciones exigidas por el FONDO.</w:t>
      </w:r>
    </w:p>
    <w:p w14:paraId="7098CCD5"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Elaborar, aprobar y firmar conjuntamente con los contratistas de obra todas las actas que demande la correcta ejecución y desarrollo de los contratos, tales como:*Acta de iniciación de los contratos. *Actas de reuniones de la Interventoría. * Actas de terminación de los contratos (Suscrita igualmente por el ordenador del gasto).*Acta de suspensión de los contratos cuando se presenten las causales correspondientes previstas en el mismo (Suscrita igualmente por el ordenador del gasto). Acta de liquidación de los contratos (Suscrita igualmente por el ordenador del gasto). Las demás actas que se establezcan y se requieran para el adecuado desarrollo de los contratos.</w:t>
      </w:r>
    </w:p>
    <w:p w14:paraId="30F6F526"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Informar por escrito al FONDO, sobre las dificultades que se presenten durante la ejecución de los Contratos Principales y asistir técnica, legal y financieramente a la entidad contratante en asuntos relacionados con el mismo.</w:t>
      </w:r>
    </w:p>
    <w:p w14:paraId="0D2790B1"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Enviar a la respectiva compañía aseguradora copia de los requerimientos hechos a los contratistas de obra para el cumplimiento de las obligaciones contenidas en los contratos.</w:t>
      </w:r>
    </w:p>
    <w:p w14:paraId="41E6A0A1"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Programar y coordinar reuniones con los contratistas y con el FONDO para analizar el avance de los contratos.</w:t>
      </w:r>
    </w:p>
    <w:p w14:paraId="47AD2185"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Resolver toda consulta de obra que hagan los contratistas o darle el trámite ante el Supervisor del FONDO, haciendo seguimiento a la atención de la misma.</w:t>
      </w:r>
    </w:p>
    <w:p w14:paraId="57EBCDC5"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Controlar el avance de los contratos con base en el cronograma de ejecución aprobado y recomendar los ajustes necesarios cada vez que sea requerido.</w:t>
      </w:r>
    </w:p>
    <w:p w14:paraId="0C41F256"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Exigir a los contratistas de obra las medidas para solucionar los problemas administrativos, técnicos o financieros específicos de los contratos (retrasos, incumplimientos, etc.).</w:t>
      </w:r>
    </w:p>
    <w:p w14:paraId="58FA72B5"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lastRenderedPageBreak/>
        <w:t>Verificar para efectos de certificación de pago, que los contratistas están cumpliendo con las obligaciones de pagos al sistema general de seguridad social y/o aportes parafiscales, según el caso, e informar al FONDO cuando los contratistas persistan en el incumplimiento de la obligación.</w:t>
      </w:r>
    </w:p>
    <w:p w14:paraId="1B0F5CB4"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Solicitar a la Alcaldía Local de TUNJUELITO, con copia dirigida al ordenador del gasto, el estudio sobre la aplicación de sanciones, para lo cual deberá preparar un informe detallado de los incumplimientos, los requerimientos efectuados y las respuestas, así como la recomendación legal respectiva, de tal manera que se garantice el debido proceso y el derecho de defensa del contratista y a la vez se salvaguarden los derechos y recursos de EL FONDO.</w:t>
      </w:r>
    </w:p>
    <w:p w14:paraId="37641BCA"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Comunicar en forma escrita a los contratistas de obra, de manera clara y precisa, las instrucciones, recomendaciones y observaciones para prevenir y corregir desviaciones, demoras e incumplimientos parciales o totales en la ejecución de los contratos.</w:t>
      </w:r>
    </w:p>
    <w:p w14:paraId="168AE948"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Según la naturaleza del contrato, exigir a los contratistas de obra, de acuerdo con las previsiones legales, el cumplimiento de las formalidades para la cesión de derechos, patentes, derechos de autor, etc., a favor de la entidad.</w:t>
      </w:r>
    </w:p>
    <w:p w14:paraId="6A241AEA"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Proyectar y sustentar para firma del ordenador del gasto, dentro de los términos y plazos legalmente establecidos, la respuesta a sugerencias, consultas, requerimientos o peticiones de los contratistas, de los ciudadanos, de las Veedurías Ciudadanas, de los Organismos de Control, Fiscalización y de Control Disciplinario con los soportes correspondientes.</w:t>
      </w:r>
    </w:p>
    <w:p w14:paraId="06295FD9"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Solicitar el apoyo que requiera de las respectivas dependencias de la Alcaldía Local de TUNJUELITO, para el efectivo cumplimiento de los términos y plazos señalados tanto en el contrato de obra como en el contrato de interventoría.</w:t>
      </w:r>
    </w:p>
    <w:p w14:paraId="7C4EBD54"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Revisar y aprobar las facturas presentadas por los contratistas de obra verificando que en ellas se consignen, de manera clara y precisa, el concepto y valor del servicio prestado y de los bienes o productos entregados y que correspondan con la ejecución del objeto, obligaciones y actividades pactadas y plazos convenidos y remitir a la Alcaldía Local de TUNJUELITO, la documentación determinada en el contrato de obra para el respectivo trámite de pago.</w:t>
      </w:r>
    </w:p>
    <w:p w14:paraId="73C233E0"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Adoptar las medidas necesarias para mantener, durante el desarrollo y ejecución del contrato de interventoría, las condiciones técnicas, económicas y financieras existentes al momento del ofrecimiento y de la celebración del contrato de interventoría.</w:t>
      </w:r>
    </w:p>
    <w:p w14:paraId="7C4D1C05"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Actuar oportunamente, de tal manera que, por causas imputables a la Entidad, no sobrevenga una mayor onerosidad en el cumplimiento de las obligaciones de las partes.</w:t>
      </w:r>
    </w:p>
    <w:p w14:paraId="3538F190"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Efectuar todos los estimativos y cálculos financieros que la Alcaldía Local Fondo de Desarrollo Local de TUNJUELITO, solicite.</w:t>
      </w:r>
    </w:p>
    <w:p w14:paraId="649803FE"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Aprobar el flujo de fondos del contrato de obra.</w:t>
      </w:r>
    </w:p>
    <w:p w14:paraId="36DE0995"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Revisar, controlar y supervisar el estado financiero del contrato de obra.</w:t>
      </w:r>
    </w:p>
    <w:p w14:paraId="7F225897"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Corregir, en el menor tiempo posible, los desajustes que pudieren presentarse y determinar los mecanismos, conceptos y procedimientos pertinentes para prever o solucionar rápida y eficazmente las diferencias que llegaren a surgir durante la ejecución del contrato de obra.</w:t>
      </w:r>
    </w:p>
    <w:p w14:paraId="63AD9349"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Responder, en primera instancia, previo concepto del Fondo de Desarrollo Local de TUNJUELITO, las reclamaciones que presenten los contratistas de obra.</w:t>
      </w:r>
    </w:p>
    <w:p w14:paraId="14F8503B"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 xml:space="preserve">Prestar apoyo al Fondo de Desarrollo Local de TUNJUELITO para resolver las peticiones y reclamos </w:t>
      </w:r>
      <w:r w:rsidRPr="00C04C4B">
        <w:rPr>
          <w:rFonts w:ascii="Garamond" w:eastAsia="Garamond" w:hAnsi="Garamond" w:cs="Garamond"/>
          <w:color w:val="000000"/>
        </w:rPr>
        <w:lastRenderedPageBreak/>
        <w:t>de los contratistas de obra y/o de las comunidades y/o de las autoridades, cuando así lo soliciten.</w:t>
      </w:r>
    </w:p>
    <w:p w14:paraId="152AB2D0" w14:textId="77777777" w:rsidR="0022086B" w:rsidRPr="00C04C4B" w:rsidRDefault="0065443B" w:rsidP="00A23238">
      <w:pPr>
        <w:numPr>
          <w:ilvl w:val="0"/>
          <w:numId w:val="5"/>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Realizar cada vez que sea necesario reuniones periódicas de evaluación de obra con los contratistas de obra o sus representantes, según el plazo y la clase de contrato. En dichas reuniones participará, por derecho propio, el Supervisor del Fondo de Desarrollo Local de TUNJUELITO o su delegado. De dichas reuniones se elaborará un acta suscrita por todos los que intervinieron en ellas, las cuales serán archivadas y mantenidas en custodia por la Interventoría.</w:t>
      </w:r>
    </w:p>
    <w:p w14:paraId="221AA510" w14:textId="77777777" w:rsidR="0022086B" w:rsidRPr="00C04C4B" w:rsidRDefault="0022086B">
      <w:pPr>
        <w:rPr>
          <w:rFonts w:ascii="Garamond" w:eastAsia="Garamond" w:hAnsi="Garamond" w:cs="Garamond"/>
        </w:rPr>
      </w:pPr>
    </w:p>
    <w:p w14:paraId="733B25EF" w14:textId="77777777" w:rsidR="0022086B" w:rsidRPr="00C04C4B" w:rsidRDefault="0065443B">
      <w:pPr>
        <w:jc w:val="both"/>
        <w:rPr>
          <w:rFonts w:ascii="Garamond" w:eastAsia="Garamond" w:hAnsi="Garamond" w:cs="Garamond"/>
          <w:b/>
        </w:rPr>
      </w:pPr>
      <w:r w:rsidRPr="00C04C4B">
        <w:rPr>
          <w:rFonts w:ascii="Garamond" w:eastAsia="Garamond" w:hAnsi="Garamond" w:cs="Garamond"/>
          <w:b/>
        </w:rPr>
        <w:t>9.7. OBLIGACIONES DEL INTERVENTOR DE CARÁCTER TÉCNICO</w:t>
      </w:r>
    </w:p>
    <w:p w14:paraId="3F2B3AD5" w14:textId="77777777" w:rsidR="0022086B" w:rsidRPr="00C04C4B" w:rsidRDefault="0022086B">
      <w:pPr>
        <w:jc w:val="both"/>
        <w:rPr>
          <w:rFonts w:ascii="Garamond" w:eastAsia="Garamond" w:hAnsi="Garamond" w:cs="Garamond"/>
        </w:rPr>
      </w:pPr>
    </w:p>
    <w:p w14:paraId="787CE4B4" w14:textId="77777777" w:rsidR="0022086B" w:rsidRPr="00C04C4B" w:rsidRDefault="0065443B" w:rsidP="00A23238">
      <w:pPr>
        <w:numPr>
          <w:ilvl w:val="0"/>
          <w:numId w:val="6"/>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Verificar que las obras se ejecuten de acuerdo con las estipulaciones de los respectivos contratos y con las normas técnicas y administrativas pertinentes, en razón de loa cual se suscribirán, en señal de su aprobación y conformidad, informes y actas de recibo parcial y definitivo de las obras.</w:t>
      </w:r>
    </w:p>
    <w:p w14:paraId="6A5EB9BC" w14:textId="77777777" w:rsidR="0022086B" w:rsidRPr="00C04C4B" w:rsidRDefault="0065443B" w:rsidP="00A23238">
      <w:pPr>
        <w:numPr>
          <w:ilvl w:val="0"/>
          <w:numId w:val="6"/>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 xml:space="preserve">Documentar ante el </w:t>
      </w:r>
      <w:proofErr w:type="spellStart"/>
      <w:r w:rsidRPr="00C04C4B">
        <w:rPr>
          <w:rFonts w:ascii="Garamond" w:eastAsia="Garamond" w:hAnsi="Garamond" w:cs="Garamond"/>
          <w:color w:val="000000"/>
        </w:rPr>
        <w:t>FDLT</w:t>
      </w:r>
      <w:proofErr w:type="spellEnd"/>
      <w:r w:rsidRPr="00C04C4B">
        <w:rPr>
          <w:rFonts w:ascii="Garamond" w:eastAsia="Garamond" w:hAnsi="Garamond" w:cs="Garamond"/>
          <w:color w:val="000000"/>
        </w:rPr>
        <w:t>, o a quién éste delegue o designe, el desarrollo de su labor, así como las metodologías, pruebas o ensayos en que sustente sus observaciones.</w:t>
      </w:r>
    </w:p>
    <w:p w14:paraId="4F085450" w14:textId="77777777" w:rsidR="0022086B" w:rsidRPr="00C04C4B" w:rsidRDefault="0065443B" w:rsidP="00A23238">
      <w:pPr>
        <w:numPr>
          <w:ilvl w:val="0"/>
          <w:numId w:val="6"/>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Verificar el cumplimiento de los cronogramas del contrato de obra y reportar en los informes de interventoría lo siguiente: el avance de la obra valorado en semanas, así como los aspectos físicos y de inversión con indicadores y con seguimiento de medidas correctivas.</w:t>
      </w:r>
    </w:p>
    <w:p w14:paraId="0D9753F0" w14:textId="77777777" w:rsidR="0022086B" w:rsidRPr="00C04C4B" w:rsidRDefault="0065443B" w:rsidP="00A23238">
      <w:pPr>
        <w:numPr>
          <w:ilvl w:val="0"/>
          <w:numId w:val="6"/>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Analizar el avance de ejecución de la obra física y presupuestal.</w:t>
      </w:r>
    </w:p>
    <w:p w14:paraId="017BCD9F" w14:textId="77777777" w:rsidR="0022086B" w:rsidRPr="00C04C4B" w:rsidRDefault="0065443B" w:rsidP="00A23238">
      <w:pPr>
        <w:numPr>
          <w:ilvl w:val="0"/>
          <w:numId w:val="6"/>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Solicitar al Contratista acelerar el ritmo de las obras y requerirlo para que presente planes de contingencia cuando se detecten atrasos respecto de la programación de obra y del cronograma de metas físicas que puedan generar incumplimiento del contrato.</w:t>
      </w:r>
    </w:p>
    <w:p w14:paraId="058BFF6B" w14:textId="77777777" w:rsidR="0022086B" w:rsidRPr="00C04C4B" w:rsidRDefault="0065443B" w:rsidP="00A23238">
      <w:pPr>
        <w:numPr>
          <w:ilvl w:val="0"/>
          <w:numId w:val="6"/>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Efectuar un estricto control de la calidad de los materiales empleados por los Contratistas, a partir de las especificaciones técnicas generales y particulares contratadas. Para lo anterior se realizarán las pruebas pertinentes y se presentará un informe mensual de reportes sobre el control de calidad de materiales.</w:t>
      </w:r>
    </w:p>
    <w:p w14:paraId="66D25741" w14:textId="77777777" w:rsidR="0022086B" w:rsidRPr="00C04C4B" w:rsidRDefault="0022086B">
      <w:pPr>
        <w:jc w:val="both"/>
        <w:rPr>
          <w:rFonts w:ascii="Garamond" w:eastAsia="Garamond" w:hAnsi="Garamond" w:cs="Garamond"/>
        </w:rPr>
      </w:pPr>
    </w:p>
    <w:p w14:paraId="2E6A4478" w14:textId="77777777" w:rsidR="0022086B" w:rsidRPr="00C04C4B" w:rsidRDefault="0065443B" w:rsidP="00A23238">
      <w:pPr>
        <w:numPr>
          <w:ilvl w:val="0"/>
          <w:numId w:val="6"/>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Garantizar la presencia eficaz de los residentes en todos los frentes de obra, efectuando visitas periódicas a los sitios de las obras, cuantas veces la intensidad y el avance de los trabajos así lo requieran.</w:t>
      </w:r>
    </w:p>
    <w:p w14:paraId="3DD180BE" w14:textId="77777777" w:rsidR="0022086B" w:rsidRPr="00C04C4B" w:rsidRDefault="0065443B" w:rsidP="00A23238">
      <w:pPr>
        <w:numPr>
          <w:ilvl w:val="0"/>
          <w:numId w:val="6"/>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Revisar, adicionar y exigir a los Contratistas consignar en la bitácora los eventos principales que ocurran con ocasión de la ejecución de la obra.</w:t>
      </w:r>
    </w:p>
    <w:p w14:paraId="2944C800" w14:textId="77777777" w:rsidR="0022086B" w:rsidRPr="00C04C4B" w:rsidRDefault="0065443B" w:rsidP="00A23238">
      <w:pPr>
        <w:numPr>
          <w:ilvl w:val="0"/>
          <w:numId w:val="6"/>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Aprobar o rechazar de manera motivada todos los equipos, elementos, materiales y mano de obra que vayan ser incorporados a la obra.</w:t>
      </w:r>
    </w:p>
    <w:p w14:paraId="4EB96CB5" w14:textId="77777777" w:rsidR="0022086B" w:rsidRPr="00C04C4B" w:rsidRDefault="0022086B">
      <w:pPr>
        <w:jc w:val="both"/>
        <w:rPr>
          <w:rFonts w:ascii="Garamond" w:eastAsia="Garamond" w:hAnsi="Garamond" w:cs="Garamond"/>
        </w:rPr>
      </w:pPr>
    </w:p>
    <w:p w14:paraId="3A8C4B3F" w14:textId="77777777" w:rsidR="0022086B" w:rsidRPr="00C04C4B" w:rsidRDefault="0065443B" w:rsidP="00A23238">
      <w:pPr>
        <w:numPr>
          <w:ilvl w:val="0"/>
          <w:numId w:val="6"/>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 xml:space="preserve">Verificar que los contratistas de obra ejecuten las actividades de acuerdo a lo consignado en la Norma Técnica 061-COL“Plan de prevención de daños” dispuesta por Gas Natural </w:t>
      </w:r>
      <w:proofErr w:type="spellStart"/>
      <w:r w:rsidRPr="00C04C4B">
        <w:rPr>
          <w:rFonts w:ascii="Garamond" w:eastAsia="Garamond" w:hAnsi="Garamond" w:cs="Garamond"/>
          <w:color w:val="000000"/>
        </w:rPr>
        <w:t>S.A</w:t>
      </w:r>
      <w:proofErr w:type="spellEnd"/>
      <w:r w:rsidRPr="00C04C4B">
        <w:rPr>
          <w:rFonts w:ascii="Garamond" w:eastAsia="Garamond" w:hAnsi="Garamond" w:cs="Garamond"/>
          <w:color w:val="000000"/>
        </w:rPr>
        <w:t xml:space="preserve"> </w:t>
      </w:r>
      <w:proofErr w:type="spellStart"/>
      <w:r w:rsidRPr="00C04C4B">
        <w:rPr>
          <w:rFonts w:ascii="Garamond" w:eastAsia="Garamond" w:hAnsi="Garamond" w:cs="Garamond"/>
          <w:color w:val="000000"/>
        </w:rPr>
        <w:t>E.S.P</w:t>
      </w:r>
      <w:proofErr w:type="spellEnd"/>
      <w:r w:rsidRPr="00C04C4B">
        <w:rPr>
          <w:rFonts w:ascii="Garamond" w:eastAsia="Garamond" w:hAnsi="Garamond" w:cs="Garamond"/>
          <w:color w:val="000000"/>
        </w:rPr>
        <w:t>.</w:t>
      </w:r>
    </w:p>
    <w:p w14:paraId="332F9484" w14:textId="77777777" w:rsidR="0022086B" w:rsidRPr="00C04C4B" w:rsidRDefault="0022086B">
      <w:pPr>
        <w:jc w:val="both"/>
        <w:rPr>
          <w:rFonts w:ascii="Garamond" w:eastAsia="Garamond" w:hAnsi="Garamond" w:cs="Garamond"/>
          <w:b/>
        </w:rPr>
      </w:pPr>
    </w:p>
    <w:p w14:paraId="4361639F" w14:textId="77777777" w:rsidR="0022086B" w:rsidRPr="00C04C4B" w:rsidRDefault="0065443B">
      <w:pPr>
        <w:jc w:val="both"/>
        <w:rPr>
          <w:rFonts w:ascii="Garamond" w:eastAsia="Garamond" w:hAnsi="Garamond" w:cs="Garamond"/>
          <w:b/>
        </w:rPr>
      </w:pPr>
      <w:r w:rsidRPr="00C04C4B">
        <w:rPr>
          <w:rFonts w:ascii="Garamond" w:eastAsia="Garamond" w:hAnsi="Garamond" w:cs="Garamond"/>
          <w:b/>
        </w:rPr>
        <w:t>9.8 OBLIGACIONES DEL INTERVENTOR DE CARÁCTER ADMINISTRATIVO:</w:t>
      </w:r>
    </w:p>
    <w:p w14:paraId="0A37922C" w14:textId="77777777" w:rsidR="0022086B" w:rsidRPr="00C04C4B" w:rsidRDefault="0022086B">
      <w:pPr>
        <w:jc w:val="both"/>
        <w:rPr>
          <w:rFonts w:ascii="Garamond" w:eastAsia="Garamond" w:hAnsi="Garamond" w:cs="Garamond"/>
        </w:rPr>
      </w:pPr>
    </w:p>
    <w:p w14:paraId="10EF596F" w14:textId="77777777" w:rsidR="0022086B" w:rsidRPr="00C04C4B" w:rsidRDefault="0065443B" w:rsidP="00A23238">
      <w:pPr>
        <w:numPr>
          <w:ilvl w:val="0"/>
          <w:numId w:val="7"/>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Solicitar a los Contratistas de obra los informes y explicaciones que se requieran para la verificación del cumplimiento de sus funciones.</w:t>
      </w:r>
    </w:p>
    <w:p w14:paraId="4946BAAF" w14:textId="77777777" w:rsidR="0022086B" w:rsidRPr="00C04C4B" w:rsidRDefault="0065443B" w:rsidP="00A23238">
      <w:pPr>
        <w:numPr>
          <w:ilvl w:val="0"/>
          <w:numId w:val="7"/>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Informar y exponer los motivos por los cuales debe suspenderse o terminarse el contrato de obra.</w:t>
      </w:r>
    </w:p>
    <w:p w14:paraId="3974B0BA" w14:textId="77777777" w:rsidR="0022086B" w:rsidRPr="00C04C4B" w:rsidRDefault="0022086B">
      <w:pPr>
        <w:jc w:val="both"/>
        <w:rPr>
          <w:rFonts w:ascii="Garamond" w:eastAsia="Garamond" w:hAnsi="Garamond" w:cs="Garamond"/>
        </w:rPr>
      </w:pPr>
    </w:p>
    <w:p w14:paraId="4CACB1A7" w14:textId="77777777" w:rsidR="0022086B" w:rsidRPr="00C04C4B" w:rsidRDefault="0065443B" w:rsidP="00A23238">
      <w:pPr>
        <w:numPr>
          <w:ilvl w:val="0"/>
          <w:numId w:val="7"/>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 xml:space="preserve">Emitir cuando sea el caso, al </w:t>
      </w:r>
      <w:proofErr w:type="spellStart"/>
      <w:r w:rsidRPr="00C04C4B">
        <w:rPr>
          <w:rFonts w:ascii="Garamond" w:eastAsia="Garamond" w:hAnsi="Garamond" w:cs="Garamond"/>
          <w:color w:val="000000"/>
        </w:rPr>
        <w:t>FDLT</w:t>
      </w:r>
      <w:proofErr w:type="spellEnd"/>
      <w:r w:rsidRPr="00C04C4B">
        <w:rPr>
          <w:rFonts w:ascii="Garamond" w:eastAsia="Garamond" w:hAnsi="Garamond" w:cs="Garamond"/>
          <w:color w:val="000000"/>
        </w:rPr>
        <w:t xml:space="preserve"> o a quién este delegue, concepto y recomendación sobre la conveniencia de prorrogar, modificar o adicionar los contratos.</w:t>
      </w:r>
    </w:p>
    <w:p w14:paraId="18282498" w14:textId="77777777" w:rsidR="0022086B" w:rsidRPr="00C04C4B" w:rsidRDefault="0022086B">
      <w:pPr>
        <w:jc w:val="both"/>
        <w:rPr>
          <w:rFonts w:ascii="Garamond" w:eastAsia="Garamond" w:hAnsi="Garamond" w:cs="Garamond"/>
        </w:rPr>
      </w:pPr>
    </w:p>
    <w:p w14:paraId="57109549" w14:textId="77777777" w:rsidR="0022086B" w:rsidRPr="00C04C4B" w:rsidRDefault="0065443B" w:rsidP="00A23238">
      <w:pPr>
        <w:numPr>
          <w:ilvl w:val="0"/>
          <w:numId w:val="7"/>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 xml:space="preserve">Informar al </w:t>
      </w:r>
      <w:proofErr w:type="spellStart"/>
      <w:r w:rsidRPr="00C04C4B">
        <w:rPr>
          <w:rFonts w:ascii="Garamond" w:eastAsia="Garamond" w:hAnsi="Garamond" w:cs="Garamond"/>
          <w:color w:val="000000"/>
        </w:rPr>
        <w:t>FDLT</w:t>
      </w:r>
      <w:proofErr w:type="spellEnd"/>
      <w:r w:rsidRPr="00C04C4B">
        <w:rPr>
          <w:rFonts w:ascii="Garamond" w:eastAsia="Garamond" w:hAnsi="Garamond" w:cs="Garamond"/>
          <w:color w:val="000000"/>
        </w:rPr>
        <w:t>, o a quién éste delegue o designe, sobre el avance, problemas y soluciones presentadas en el desarrollo de las obras, por medio de reportes semanales, mensuales o especiales a solicitud de la supervisión del contrato de interventoría.</w:t>
      </w:r>
    </w:p>
    <w:p w14:paraId="323C08F5" w14:textId="77777777" w:rsidR="0022086B" w:rsidRPr="00C04C4B" w:rsidRDefault="0022086B">
      <w:pPr>
        <w:pBdr>
          <w:top w:val="nil"/>
          <w:left w:val="nil"/>
          <w:bottom w:val="nil"/>
          <w:right w:val="nil"/>
          <w:between w:val="nil"/>
        </w:pBdr>
        <w:jc w:val="both"/>
        <w:rPr>
          <w:rFonts w:ascii="Garamond" w:eastAsia="Garamond" w:hAnsi="Garamond" w:cs="Garamond"/>
          <w:color w:val="000000"/>
        </w:rPr>
      </w:pPr>
    </w:p>
    <w:p w14:paraId="44306703" w14:textId="77777777" w:rsidR="0022086B" w:rsidRPr="00C04C4B" w:rsidRDefault="0065443B" w:rsidP="00A23238">
      <w:pPr>
        <w:numPr>
          <w:ilvl w:val="0"/>
          <w:numId w:val="7"/>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Exigir al Contratista la implementación de las medidas correctivas a que haya lugar, de manera que se cumpla con lo establecido en el contrato de obra y en los documentos que lo conforman.</w:t>
      </w:r>
    </w:p>
    <w:p w14:paraId="0FECA6EC" w14:textId="77777777" w:rsidR="0022086B" w:rsidRPr="00C04C4B" w:rsidRDefault="0065443B" w:rsidP="00A23238">
      <w:pPr>
        <w:numPr>
          <w:ilvl w:val="0"/>
          <w:numId w:val="7"/>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Autorizar los pagos a los contratistas de obra.</w:t>
      </w:r>
    </w:p>
    <w:p w14:paraId="04CC747E" w14:textId="77777777" w:rsidR="0022086B" w:rsidRPr="00C04C4B" w:rsidRDefault="0022086B">
      <w:pPr>
        <w:jc w:val="both"/>
        <w:rPr>
          <w:rFonts w:ascii="Garamond" w:eastAsia="Garamond" w:hAnsi="Garamond" w:cs="Garamond"/>
        </w:rPr>
      </w:pPr>
    </w:p>
    <w:p w14:paraId="329DC790" w14:textId="77777777" w:rsidR="0022086B" w:rsidRPr="00C04C4B" w:rsidRDefault="0065443B" w:rsidP="00A23238">
      <w:pPr>
        <w:numPr>
          <w:ilvl w:val="0"/>
          <w:numId w:val="7"/>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Verificar que el Contratista realice los trámites ante las empresas de servicios públicos para solucionar las interferencias que pudieran presentarse y que atiendan las visitas de los funcionarios de las empresas de servicios públicos encargados de la aprobación de las redes, las conexiones y los cortes temporales de los servicios.</w:t>
      </w:r>
    </w:p>
    <w:p w14:paraId="69FDA538" w14:textId="77777777" w:rsidR="0022086B" w:rsidRPr="00C04C4B" w:rsidRDefault="0022086B">
      <w:pPr>
        <w:jc w:val="both"/>
        <w:rPr>
          <w:rFonts w:ascii="Garamond" w:eastAsia="Garamond" w:hAnsi="Garamond" w:cs="Garamond"/>
        </w:rPr>
      </w:pPr>
    </w:p>
    <w:p w14:paraId="42B8413E" w14:textId="77777777" w:rsidR="0022086B" w:rsidRPr="00C04C4B" w:rsidRDefault="0065443B" w:rsidP="00A23238">
      <w:pPr>
        <w:numPr>
          <w:ilvl w:val="0"/>
          <w:numId w:val="7"/>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Controlar la vigencia y el valor asegurado de las pólizas que garantizan el cumplimiento de los contratos de obra y exigir a los Contratistas las modificaciones que sean del caso.</w:t>
      </w:r>
    </w:p>
    <w:p w14:paraId="31ABB094" w14:textId="77777777" w:rsidR="0022086B" w:rsidRPr="00C04C4B" w:rsidRDefault="0022086B">
      <w:pPr>
        <w:jc w:val="both"/>
        <w:rPr>
          <w:rFonts w:ascii="Garamond" w:eastAsia="Garamond" w:hAnsi="Garamond" w:cs="Garamond"/>
        </w:rPr>
      </w:pPr>
    </w:p>
    <w:p w14:paraId="22A1FB6E" w14:textId="77777777" w:rsidR="0022086B" w:rsidRPr="00C04C4B" w:rsidRDefault="0065443B" w:rsidP="00A23238">
      <w:pPr>
        <w:numPr>
          <w:ilvl w:val="0"/>
          <w:numId w:val="7"/>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Informar al Fondo los hechos que puedan considerarse ocurrencia del riesgo asegurado, dentro de los cinco (5) días hábiles siguientes al acaecimiento de éstos.</w:t>
      </w:r>
    </w:p>
    <w:p w14:paraId="3B376063" w14:textId="77777777" w:rsidR="0022086B" w:rsidRPr="00C04C4B" w:rsidRDefault="0022086B">
      <w:pPr>
        <w:jc w:val="both"/>
        <w:rPr>
          <w:rFonts w:ascii="Garamond" w:eastAsia="Garamond" w:hAnsi="Garamond" w:cs="Garamond"/>
        </w:rPr>
      </w:pPr>
    </w:p>
    <w:p w14:paraId="56797CFF" w14:textId="77777777" w:rsidR="0022086B" w:rsidRPr="00C04C4B" w:rsidRDefault="0065443B" w:rsidP="00A23238">
      <w:pPr>
        <w:numPr>
          <w:ilvl w:val="0"/>
          <w:numId w:val="7"/>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Analizar, verificar y emitir concepto sobre las razones o causas que expongan los Contratistas para solicitar modificaciones a los contratos de obra. De igual manera, la parte Interventora debe velar porque las modificaciones a los contratos de obra incluyan, cuando se requiera, la correspondiente modificación al programa de trabajo, al igual que la posterior constitución y aprobación de las correspondientes modificaciones a las pólizas.</w:t>
      </w:r>
    </w:p>
    <w:p w14:paraId="0DBD23F9" w14:textId="77777777" w:rsidR="0022086B" w:rsidRPr="00C04C4B" w:rsidRDefault="0022086B">
      <w:pPr>
        <w:pBdr>
          <w:top w:val="nil"/>
          <w:left w:val="nil"/>
          <w:bottom w:val="nil"/>
          <w:right w:val="nil"/>
          <w:between w:val="nil"/>
        </w:pBdr>
        <w:ind w:left="1416" w:hanging="360"/>
        <w:jc w:val="both"/>
        <w:rPr>
          <w:rFonts w:ascii="Garamond" w:eastAsia="Garamond" w:hAnsi="Garamond" w:cs="Garamond"/>
          <w:color w:val="000000"/>
        </w:rPr>
      </w:pPr>
    </w:p>
    <w:p w14:paraId="2C19B910" w14:textId="77777777" w:rsidR="0022086B" w:rsidRPr="00C04C4B" w:rsidRDefault="0065443B" w:rsidP="00A23238">
      <w:pPr>
        <w:numPr>
          <w:ilvl w:val="0"/>
          <w:numId w:val="7"/>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 xml:space="preserve">Recomendar al </w:t>
      </w:r>
      <w:proofErr w:type="spellStart"/>
      <w:r w:rsidRPr="00C04C4B">
        <w:rPr>
          <w:rFonts w:ascii="Garamond" w:eastAsia="Garamond" w:hAnsi="Garamond" w:cs="Garamond"/>
          <w:color w:val="000000"/>
        </w:rPr>
        <w:t>FDLT</w:t>
      </w:r>
      <w:proofErr w:type="spellEnd"/>
      <w:r w:rsidRPr="00C04C4B">
        <w:rPr>
          <w:rFonts w:ascii="Garamond" w:eastAsia="Garamond" w:hAnsi="Garamond" w:cs="Garamond"/>
          <w:color w:val="000000"/>
        </w:rPr>
        <w:t xml:space="preserve"> cuando sea procedente y con razones fundamentadas, la declaratoria de caducidad, la efectividad de las penas previstas en los contratos de obra o cualquier otra decisión derivada por el incumplimiento de dichos contratos, cuando la causa que las sustente sea atribuible a los Contratistas.</w:t>
      </w:r>
    </w:p>
    <w:p w14:paraId="71DD57BA" w14:textId="77777777" w:rsidR="0022086B" w:rsidRPr="00C04C4B" w:rsidRDefault="0022086B">
      <w:pPr>
        <w:jc w:val="both"/>
        <w:rPr>
          <w:rFonts w:ascii="Garamond" w:eastAsia="Garamond" w:hAnsi="Garamond" w:cs="Garamond"/>
        </w:rPr>
      </w:pPr>
    </w:p>
    <w:p w14:paraId="537B6E42" w14:textId="77777777" w:rsidR="0022086B" w:rsidRPr="00C04C4B" w:rsidRDefault="0065443B" w:rsidP="00A23238">
      <w:pPr>
        <w:numPr>
          <w:ilvl w:val="0"/>
          <w:numId w:val="7"/>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Proyectar el acta de liquidación de mutuo acuerdo tanto del contrato principal objeto de vigilancia y control como del acta de liquidación del contrato que surja para las actividades de interventoría.</w:t>
      </w:r>
    </w:p>
    <w:p w14:paraId="4141C533" w14:textId="77777777" w:rsidR="0022086B" w:rsidRPr="00C04C4B" w:rsidRDefault="0022086B">
      <w:pPr>
        <w:pBdr>
          <w:top w:val="nil"/>
          <w:left w:val="nil"/>
          <w:bottom w:val="nil"/>
          <w:right w:val="nil"/>
          <w:between w:val="nil"/>
        </w:pBdr>
        <w:ind w:left="1416" w:hanging="360"/>
        <w:jc w:val="both"/>
        <w:rPr>
          <w:rFonts w:ascii="Garamond" w:eastAsia="Garamond" w:hAnsi="Garamond" w:cs="Garamond"/>
          <w:color w:val="000000"/>
        </w:rPr>
      </w:pPr>
    </w:p>
    <w:p w14:paraId="13370C99" w14:textId="77777777" w:rsidR="0022086B" w:rsidRPr="00C04C4B" w:rsidRDefault="0022086B">
      <w:pPr>
        <w:pBdr>
          <w:top w:val="nil"/>
          <w:left w:val="nil"/>
          <w:bottom w:val="nil"/>
          <w:right w:val="nil"/>
          <w:between w:val="nil"/>
        </w:pBdr>
        <w:ind w:left="720"/>
        <w:jc w:val="both"/>
        <w:rPr>
          <w:rFonts w:ascii="Garamond" w:eastAsia="Garamond" w:hAnsi="Garamond" w:cs="Garamond"/>
          <w:color w:val="000000"/>
        </w:rPr>
      </w:pPr>
    </w:p>
    <w:p w14:paraId="41EAFF9B" w14:textId="77777777" w:rsidR="0022086B" w:rsidRPr="00C04C4B" w:rsidRDefault="0065443B">
      <w:pPr>
        <w:jc w:val="both"/>
        <w:rPr>
          <w:rFonts w:ascii="Garamond" w:eastAsia="Garamond" w:hAnsi="Garamond" w:cs="Garamond"/>
          <w:b/>
        </w:rPr>
      </w:pPr>
      <w:r w:rsidRPr="00C04C4B">
        <w:rPr>
          <w:rFonts w:ascii="Garamond" w:eastAsia="Garamond" w:hAnsi="Garamond" w:cs="Garamond"/>
          <w:b/>
        </w:rPr>
        <w:t>OBLIGACIONES DEL INTERVENTOR DE CARÁCTER FINANCIERO:</w:t>
      </w:r>
    </w:p>
    <w:p w14:paraId="6F5CB5B9" w14:textId="77777777" w:rsidR="0022086B" w:rsidRPr="00C04C4B" w:rsidRDefault="0022086B">
      <w:pPr>
        <w:jc w:val="both"/>
        <w:rPr>
          <w:rFonts w:ascii="Garamond" w:eastAsia="Garamond" w:hAnsi="Garamond" w:cs="Garamond"/>
        </w:rPr>
      </w:pPr>
    </w:p>
    <w:p w14:paraId="52B460EF" w14:textId="77777777" w:rsidR="0022086B" w:rsidRPr="00C04C4B" w:rsidRDefault="0065443B">
      <w:pPr>
        <w:jc w:val="both"/>
        <w:rPr>
          <w:rFonts w:ascii="Garamond" w:eastAsia="Garamond" w:hAnsi="Garamond" w:cs="Garamond"/>
        </w:rPr>
      </w:pPr>
      <w:r w:rsidRPr="00C04C4B">
        <w:rPr>
          <w:rFonts w:ascii="Garamond" w:eastAsia="Garamond" w:hAnsi="Garamond" w:cs="Garamond"/>
        </w:rPr>
        <w:t xml:space="preserve">1. Controlar el saldo sobre el valor de los contratos de obra, acumulando sumas pagadas y descuentos por todo </w:t>
      </w:r>
      <w:r w:rsidRPr="00C04C4B">
        <w:rPr>
          <w:rFonts w:ascii="Garamond" w:eastAsia="Garamond" w:hAnsi="Garamond" w:cs="Garamond"/>
        </w:rPr>
        <w:lastRenderedPageBreak/>
        <w:t>concepto y retenciones en caso de que las haya.</w:t>
      </w:r>
    </w:p>
    <w:p w14:paraId="6CF78BDC" w14:textId="77777777" w:rsidR="0022086B" w:rsidRPr="00C04C4B" w:rsidRDefault="0022086B">
      <w:pPr>
        <w:jc w:val="both"/>
        <w:rPr>
          <w:rFonts w:ascii="Garamond" w:eastAsia="Garamond" w:hAnsi="Garamond" w:cs="Garamond"/>
        </w:rPr>
      </w:pPr>
    </w:p>
    <w:p w14:paraId="6FBD6B5C" w14:textId="77777777" w:rsidR="0022086B" w:rsidRPr="00C04C4B" w:rsidRDefault="0065443B">
      <w:pPr>
        <w:jc w:val="both"/>
        <w:rPr>
          <w:rFonts w:ascii="Garamond" w:eastAsia="Garamond" w:hAnsi="Garamond" w:cs="Garamond"/>
        </w:rPr>
      </w:pPr>
      <w:r w:rsidRPr="00C04C4B">
        <w:rPr>
          <w:rFonts w:ascii="Garamond" w:eastAsia="Garamond" w:hAnsi="Garamond" w:cs="Garamond"/>
        </w:rPr>
        <w:t>2.Asegurar el cumplimiento de las metas contractuales logrando que se desarrollen los contratos de obra, dentro de los presupuestos de tiempo e inversión previstos originalmente.</w:t>
      </w:r>
    </w:p>
    <w:p w14:paraId="50CC8CC0" w14:textId="77777777" w:rsidR="0022086B" w:rsidRPr="00C04C4B" w:rsidRDefault="0022086B">
      <w:pPr>
        <w:jc w:val="both"/>
        <w:rPr>
          <w:rFonts w:ascii="Garamond" w:eastAsia="Garamond" w:hAnsi="Garamond" w:cs="Garamond"/>
        </w:rPr>
      </w:pPr>
    </w:p>
    <w:p w14:paraId="524083FB" w14:textId="77777777" w:rsidR="0022086B" w:rsidRPr="00C04C4B" w:rsidRDefault="0065443B">
      <w:pPr>
        <w:jc w:val="both"/>
        <w:rPr>
          <w:rFonts w:ascii="Garamond" w:eastAsia="Garamond" w:hAnsi="Garamond" w:cs="Garamond"/>
          <w:b/>
        </w:rPr>
      </w:pPr>
      <w:r w:rsidRPr="00C04C4B">
        <w:rPr>
          <w:rFonts w:ascii="Garamond" w:eastAsia="Garamond" w:hAnsi="Garamond" w:cs="Garamond"/>
          <w:b/>
        </w:rPr>
        <w:t>OBLIGACIONES ESPECÍFICAS ADICIONALES.</w:t>
      </w:r>
    </w:p>
    <w:p w14:paraId="1014130C" w14:textId="77777777" w:rsidR="0022086B" w:rsidRPr="00C04C4B" w:rsidRDefault="0022086B">
      <w:pPr>
        <w:jc w:val="both"/>
        <w:rPr>
          <w:rFonts w:ascii="Garamond" w:eastAsia="Garamond" w:hAnsi="Garamond" w:cs="Garamond"/>
        </w:rPr>
      </w:pPr>
    </w:p>
    <w:p w14:paraId="6D2B652F" w14:textId="77777777" w:rsidR="0022086B" w:rsidRPr="00C04C4B" w:rsidRDefault="0065443B" w:rsidP="00A23238">
      <w:pPr>
        <w:numPr>
          <w:ilvl w:val="0"/>
          <w:numId w:val="8"/>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Efectuar una reunión preliminar con el contratista de obra para establecer la metodología de trabajo, el cronograma, lugar, fecha y hora de las sesiones del trabajo.</w:t>
      </w:r>
    </w:p>
    <w:p w14:paraId="34D5B443" w14:textId="77777777" w:rsidR="0022086B" w:rsidRPr="00C04C4B" w:rsidRDefault="0065443B" w:rsidP="00A23238">
      <w:pPr>
        <w:numPr>
          <w:ilvl w:val="0"/>
          <w:numId w:val="8"/>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Levantar actas, documentos e informes quincenales y mensuales que se deriven de la ejecución del contrato, información que deberá ser enviada al coordinador del contrato de interventoría.</w:t>
      </w:r>
    </w:p>
    <w:p w14:paraId="05712F4E" w14:textId="77777777" w:rsidR="0022086B" w:rsidRPr="00C04C4B" w:rsidRDefault="0065443B" w:rsidP="00A23238">
      <w:pPr>
        <w:numPr>
          <w:ilvl w:val="0"/>
          <w:numId w:val="8"/>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Hacer seguimiento y exigir al contratista, sea coordinador o interventor, la actualización de las garantías del contrato durante la ejecución del mismo, si a ello hubiere lugar.</w:t>
      </w:r>
    </w:p>
    <w:p w14:paraId="62308951" w14:textId="77777777" w:rsidR="0022086B" w:rsidRPr="00C04C4B" w:rsidRDefault="0065443B" w:rsidP="00A23238">
      <w:pPr>
        <w:numPr>
          <w:ilvl w:val="0"/>
          <w:numId w:val="8"/>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Entregar documento de aprobación de cada uno de los componentes contemplados en el contrato objeto de vigilancia (levantamiento y diseño complementario).</w:t>
      </w:r>
    </w:p>
    <w:p w14:paraId="7B10DB4A" w14:textId="77777777" w:rsidR="0022086B" w:rsidRPr="00C04C4B" w:rsidRDefault="0065443B" w:rsidP="00A23238">
      <w:pPr>
        <w:numPr>
          <w:ilvl w:val="0"/>
          <w:numId w:val="8"/>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Llevar control sobre la ejecución y cumplimiento cabal de las obligaciones asumidas por razón del contrato celebrado, informando en forma oportuna, la forma en que estas se vienen cumpliendo.</w:t>
      </w:r>
    </w:p>
    <w:p w14:paraId="50B9912E" w14:textId="77777777" w:rsidR="0022086B" w:rsidRPr="00C04C4B" w:rsidRDefault="0065443B" w:rsidP="00A23238">
      <w:pPr>
        <w:numPr>
          <w:ilvl w:val="0"/>
          <w:numId w:val="8"/>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Conocer a detalle las especificaciones técnicas de la obra a intervenir sobre la cual ejercerá la vigilancia y control.</w:t>
      </w:r>
    </w:p>
    <w:p w14:paraId="7A036FBE" w14:textId="77777777" w:rsidR="0022086B" w:rsidRPr="00C04C4B" w:rsidRDefault="0065443B" w:rsidP="00A23238">
      <w:pPr>
        <w:numPr>
          <w:ilvl w:val="0"/>
          <w:numId w:val="8"/>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Acompañar a la Entidad Contratante a los debidos procesos a que haya lugar y demás reclamaciones administrativas y contractuales y hasta la vigencia de la garantía única.</w:t>
      </w:r>
    </w:p>
    <w:p w14:paraId="70E2CAA6" w14:textId="77777777" w:rsidR="0022086B" w:rsidRPr="00C04C4B" w:rsidRDefault="0065443B" w:rsidP="00A23238">
      <w:pPr>
        <w:numPr>
          <w:ilvl w:val="0"/>
          <w:numId w:val="8"/>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Revisar y verificar las cantidades de obra y presupuesto en el término de la revisión de la ingeniería de detalle.</w:t>
      </w:r>
    </w:p>
    <w:p w14:paraId="4785419C" w14:textId="77777777" w:rsidR="0022086B" w:rsidRPr="00C04C4B" w:rsidRDefault="0022086B">
      <w:pPr>
        <w:jc w:val="both"/>
        <w:rPr>
          <w:rFonts w:ascii="Garamond" w:eastAsia="Garamond" w:hAnsi="Garamond" w:cs="Garamond"/>
        </w:rPr>
      </w:pPr>
    </w:p>
    <w:p w14:paraId="5E32C886" w14:textId="77777777" w:rsidR="0022086B" w:rsidRPr="00C04C4B" w:rsidRDefault="0065443B" w:rsidP="00A23238">
      <w:pPr>
        <w:numPr>
          <w:ilvl w:val="0"/>
          <w:numId w:val="8"/>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Conocer a detalle la lista de precios de los materiales de los ítems entregados por la contratista de obra, sobre el cual ejercerá la interventoría.</w:t>
      </w:r>
    </w:p>
    <w:p w14:paraId="5D43A820" w14:textId="77777777" w:rsidR="0022086B" w:rsidRPr="00C04C4B" w:rsidRDefault="0065443B" w:rsidP="00A23238">
      <w:pPr>
        <w:numPr>
          <w:ilvl w:val="0"/>
          <w:numId w:val="8"/>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Resolver en forma oportuna las consultas que le formule el coordinador del Contrato y el Contratista de obra, haciendo las observaciones por escrito, con copia a la Supervisión del Contrato de la Entidad.</w:t>
      </w:r>
    </w:p>
    <w:p w14:paraId="0795BF9A" w14:textId="77777777" w:rsidR="0022086B" w:rsidRPr="00C04C4B" w:rsidRDefault="0065443B" w:rsidP="00A23238">
      <w:pPr>
        <w:numPr>
          <w:ilvl w:val="0"/>
          <w:numId w:val="8"/>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DECLARACIÓN EXPRESA. SUSPENSIÓN TEMPORAL: Las partes podrán suspender temporalmente el plazo de ejecución del contrato, cuando se presenten causas que impidan la ejecución temporal o transitoria, por ocurrencia de un imprevisto o hecho inevitable, una vez establecida en debida forma la causal se suscribirá un acta entre las partes, donde conste el evento, su causa, el término de la suspensión y aquellas previsiones que se consideren necesario consignar. El tiempo de suspensión no se computará para los efectos del plazo extintivo del presente contrato. Para el reinicio de la ejecución y, superada la situación que originó la suspensión del plazo de ejecución, se suscribirá la correspondiente acta de reinicio.</w:t>
      </w:r>
    </w:p>
    <w:p w14:paraId="16E4209C" w14:textId="77777777" w:rsidR="0022086B" w:rsidRPr="00C04C4B" w:rsidRDefault="0022086B">
      <w:pPr>
        <w:jc w:val="both"/>
        <w:rPr>
          <w:rFonts w:ascii="Garamond" w:eastAsia="Garamond" w:hAnsi="Garamond" w:cs="Garamond"/>
        </w:rPr>
      </w:pPr>
    </w:p>
    <w:p w14:paraId="48C3B3D9" w14:textId="77777777" w:rsidR="0022086B" w:rsidRPr="00C04C4B" w:rsidRDefault="0065443B">
      <w:pPr>
        <w:jc w:val="both"/>
        <w:rPr>
          <w:rFonts w:ascii="Garamond" w:eastAsia="Garamond" w:hAnsi="Garamond" w:cs="Garamond"/>
          <w:b/>
        </w:rPr>
      </w:pPr>
      <w:r w:rsidRPr="00C04C4B">
        <w:rPr>
          <w:rFonts w:ascii="Garamond" w:eastAsia="Garamond" w:hAnsi="Garamond" w:cs="Garamond"/>
          <w:b/>
        </w:rPr>
        <w:t>OBLIGACIONES DEL INTERVENTOR A LA FINALIZACIÓN Y LIQUIDACIÓN DEL CONTRATO PRINCIPAL:</w:t>
      </w:r>
    </w:p>
    <w:p w14:paraId="16D767FF" w14:textId="77777777" w:rsidR="0022086B" w:rsidRPr="00C04C4B" w:rsidRDefault="0022086B">
      <w:pPr>
        <w:jc w:val="both"/>
        <w:rPr>
          <w:rFonts w:ascii="Garamond" w:eastAsia="Garamond" w:hAnsi="Garamond" w:cs="Garamond"/>
        </w:rPr>
      </w:pPr>
    </w:p>
    <w:p w14:paraId="60BD6525" w14:textId="77777777" w:rsidR="0022086B" w:rsidRPr="00C04C4B" w:rsidRDefault="0065443B" w:rsidP="00A23238">
      <w:pPr>
        <w:numPr>
          <w:ilvl w:val="0"/>
          <w:numId w:val="9"/>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 xml:space="preserve">Durante esta etapa corresponde al interventor del contrato, preparar el informe final sobre la ejecución </w:t>
      </w:r>
      <w:r w:rsidRPr="00C04C4B">
        <w:rPr>
          <w:rFonts w:ascii="Garamond" w:eastAsia="Garamond" w:hAnsi="Garamond" w:cs="Garamond"/>
          <w:color w:val="000000"/>
        </w:rPr>
        <w:lastRenderedPageBreak/>
        <w:t>del contrato de obra, para lo cual deberá:</w:t>
      </w:r>
    </w:p>
    <w:p w14:paraId="5CDE2F88" w14:textId="77777777" w:rsidR="0022086B" w:rsidRPr="00C04C4B" w:rsidRDefault="0065443B" w:rsidP="00A23238">
      <w:pPr>
        <w:numPr>
          <w:ilvl w:val="0"/>
          <w:numId w:val="9"/>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Solicitar certificación a la oficina de presupuesto de los pagos efectuados a los contratistas de obra.</w:t>
      </w:r>
    </w:p>
    <w:p w14:paraId="52D24E3F" w14:textId="77777777" w:rsidR="0022086B" w:rsidRPr="00C04C4B" w:rsidRDefault="0065443B" w:rsidP="00A23238">
      <w:pPr>
        <w:numPr>
          <w:ilvl w:val="0"/>
          <w:numId w:val="9"/>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Revisar, suscribir y aprobar los documentos financieros, legales y contables que sean necesarios para la liquidación final del contrato de obra.</w:t>
      </w:r>
    </w:p>
    <w:p w14:paraId="6910988E" w14:textId="77777777" w:rsidR="0022086B" w:rsidRPr="00C04C4B" w:rsidRDefault="0065443B" w:rsidP="00A23238">
      <w:pPr>
        <w:numPr>
          <w:ilvl w:val="0"/>
          <w:numId w:val="9"/>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Exigir a los contratistas de obra la extensión o ampliación, si es del caso, de los amparos de Estabilidad, del pago de salarios, prestaciones e indemnizaciones; de la póliza de responsabilidad civil y de los demás amparos y garantías que se requieran para avalar las obligaciones que deba cumplir el contratista de obra con posterioridad a la terminación del contrato.</w:t>
      </w:r>
    </w:p>
    <w:p w14:paraId="3CB97F57" w14:textId="77777777" w:rsidR="0022086B" w:rsidRPr="00C04C4B" w:rsidRDefault="0065443B" w:rsidP="00A23238">
      <w:pPr>
        <w:numPr>
          <w:ilvl w:val="0"/>
          <w:numId w:val="9"/>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Verificar y dejar constancia del cumplimiento de las obligaciones de pagos al sistema general de seguridad social y/o aportes parafiscales, cuando a ello haya lugar, estableciendo una correcta relación entre el monto cancelado y las sumas que debieron haber sido cotizadas.</w:t>
      </w:r>
    </w:p>
    <w:p w14:paraId="3356FAD5" w14:textId="77777777" w:rsidR="0022086B" w:rsidRPr="00C04C4B" w:rsidRDefault="0065443B" w:rsidP="00A23238">
      <w:pPr>
        <w:numPr>
          <w:ilvl w:val="0"/>
          <w:numId w:val="9"/>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Dejar constancia del valor que la entidad retendrá por concepto a las sumas adeudadas al sistema en el momento de la liquidación, en el evento que no se hubieren realizado totalmente los aportes al sistema de pensiones y salud.</w:t>
      </w:r>
    </w:p>
    <w:p w14:paraId="2AE18922" w14:textId="77777777" w:rsidR="0022086B" w:rsidRPr="00C04C4B" w:rsidRDefault="0065443B" w:rsidP="00A23238">
      <w:pPr>
        <w:numPr>
          <w:ilvl w:val="0"/>
          <w:numId w:val="9"/>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Elaborar las actas de liquidación del contrato de obra, para efectos de que la entidad pueda cumplir con esta actividad dentro de los plazos legales y adjuntar los soportes correspondientes.</w:t>
      </w:r>
    </w:p>
    <w:p w14:paraId="2956A955" w14:textId="77777777" w:rsidR="0022086B" w:rsidRPr="00C04C4B" w:rsidRDefault="0065443B" w:rsidP="00A23238">
      <w:pPr>
        <w:numPr>
          <w:ilvl w:val="0"/>
          <w:numId w:val="9"/>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Requerir al contratista de obra para efectuar la liquidación bilateral y dejar constancia de ello.</w:t>
      </w:r>
    </w:p>
    <w:p w14:paraId="7CAADC65" w14:textId="77777777" w:rsidR="0022086B" w:rsidRPr="00C04C4B" w:rsidRDefault="0065443B" w:rsidP="00A23238">
      <w:pPr>
        <w:numPr>
          <w:ilvl w:val="0"/>
          <w:numId w:val="9"/>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Solicitar al contratista de obra los paz y salvos de las entidades de servicios públicos como requisito para liquidar el contrato de obra.</w:t>
      </w:r>
    </w:p>
    <w:p w14:paraId="41D60993" w14:textId="77777777" w:rsidR="0022086B" w:rsidRPr="00C04C4B" w:rsidRDefault="0065443B" w:rsidP="00A23238">
      <w:pPr>
        <w:numPr>
          <w:ilvl w:val="0"/>
          <w:numId w:val="9"/>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Verificar y solicitar al contratista el cierre del PIN ante la Secretaría Distrital de Ambiente.</w:t>
      </w:r>
    </w:p>
    <w:p w14:paraId="4B3A220C" w14:textId="77777777" w:rsidR="0022086B" w:rsidRPr="00C04C4B" w:rsidRDefault="0065443B" w:rsidP="00A23238">
      <w:pPr>
        <w:numPr>
          <w:ilvl w:val="0"/>
          <w:numId w:val="9"/>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Suscribir, conjuntamente con las partes de los contratos, el acta de liquidación respectiva, dentro del término fijado en el mismo o, en su defecto, a más tardar antes del vencimiento de los cuatro (4) meses siguientes a su finalización.</w:t>
      </w:r>
    </w:p>
    <w:p w14:paraId="1038F171" w14:textId="77777777" w:rsidR="0022086B" w:rsidRPr="00C04C4B" w:rsidRDefault="0065443B" w:rsidP="00A23238">
      <w:pPr>
        <w:numPr>
          <w:ilvl w:val="0"/>
          <w:numId w:val="9"/>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Informar a la oficina de Contratación, a más tardar dentro del mes siguiente al vencimiento del plazo para liquidar de mutuo acuerdo, en caso que el contratista no se presente dentro del término fijado para la liquidación bilateral, o no se llega a un acuerdo sobre su contenido, para que se expida el acto administrativo de liquidación unilateral, anexando para el efecto el Informe de balance final de los contratos y los demás soportes requeridos para las liquidaciones correspondientes junto con el borrador de los respectivos Actos Administrativos debidamente motivados.</w:t>
      </w:r>
    </w:p>
    <w:p w14:paraId="73932FAC" w14:textId="77777777" w:rsidR="0022086B" w:rsidRPr="00C04C4B" w:rsidRDefault="0065443B" w:rsidP="00A23238">
      <w:pPr>
        <w:numPr>
          <w:ilvl w:val="0"/>
          <w:numId w:val="9"/>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Revisar el plazo para hacer la liquidación en forma unilateral, y el interventor no presentó el informe antes referido, deberá solicitar inmediatamente a la Alcaldía Local de TUNJUELITO, que adelante los trámites para elevar la solicitud de liquidación por vía judicial o por el procedimiento que consagre la ley. Para tal fin, debe anexar todos los soportes requeridos para la liquidación.</w:t>
      </w:r>
    </w:p>
    <w:p w14:paraId="7098DF74" w14:textId="77777777" w:rsidR="0022086B" w:rsidRPr="00C04C4B" w:rsidRDefault="0065443B" w:rsidP="00A23238">
      <w:pPr>
        <w:numPr>
          <w:ilvl w:val="0"/>
          <w:numId w:val="9"/>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 xml:space="preserve">Remitir al </w:t>
      </w:r>
      <w:proofErr w:type="spellStart"/>
      <w:r w:rsidRPr="00C04C4B">
        <w:rPr>
          <w:rFonts w:ascii="Garamond" w:eastAsia="Garamond" w:hAnsi="Garamond" w:cs="Garamond"/>
          <w:color w:val="000000"/>
        </w:rPr>
        <w:t>FDLT</w:t>
      </w:r>
      <w:proofErr w:type="spellEnd"/>
      <w:r w:rsidRPr="00C04C4B">
        <w:rPr>
          <w:rFonts w:ascii="Garamond" w:eastAsia="Garamond" w:hAnsi="Garamond" w:cs="Garamond"/>
          <w:color w:val="000000"/>
        </w:rPr>
        <w:t>, una vez finalizado el contrato de Interventoría, toda la documentación relacionada con el ejercicio de la misma.</w:t>
      </w:r>
    </w:p>
    <w:p w14:paraId="33C15CA7" w14:textId="77777777" w:rsidR="0022086B" w:rsidRPr="00C04C4B" w:rsidRDefault="0022086B">
      <w:pPr>
        <w:jc w:val="both"/>
        <w:rPr>
          <w:rFonts w:ascii="Garamond" w:eastAsia="Garamond" w:hAnsi="Garamond" w:cs="Garamond"/>
        </w:rPr>
      </w:pPr>
    </w:p>
    <w:p w14:paraId="1C0C41B8" w14:textId="77777777" w:rsidR="0022086B" w:rsidRPr="00C04C4B" w:rsidRDefault="0065443B">
      <w:pPr>
        <w:jc w:val="both"/>
        <w:rPr>
          <w:rFonts w:ascii="Garamond" w:eastAsia="Garamond" w:hAnsi="Garamond" w:cs="Garamond"/>
          <w:b/>
        </w:rPr>
      </w:pPr>
      <w:r w:rsidRPr="00C04C4B">
        <w:rPr>
          <w:rFonts w:ascii="Garamond" w:eastAsia="Garamond" w:hAnsi="Garamond" w:cs="Garamond"/>
          <w:b/>
        </w:rPr>
        <w:t>OBLIGACIONES EN MATERIA LABORAL, SEGURIDAD SOCIAL Y PARAFISCALES:</w:t>
      </w:r>
    </w:p>
    <w:p w14:paraId="1D41FB86" w14:textId="77777777" w:rsidR="0022086B" w:rsidRPr="00C04C4B" w:rsidRDefault="0022086B">
      <w:pPr>
        <w:jc w:val="both"/>
        <w:rPr>
          <w:rFonts w:ascii="Garamond" w:eastAsia="Garamond" w:hAnsi="Garamond" w:cs="Garamond"/>
        </w:rPr>
      </w:pPr>
    </w:p>
    <w:p w14:paraId="075B08B1" w14:textId="77777777" w:rsidR="0022086B" w:rsidRPr="00C04C4B" w:rsidRDefault="0065443B">
      <w:p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En desarrollo del objeto del Contrato, el INTERVENTOR contraerá las siguientes obligaciones en esta materia:</w:t>
      </w:r>
    </w:p>
    <w:p w14:paraId="4A692CF1" w14:textId="77777777" w:rsidR="0022086B" w:rsidRPr="00C04C4B" w:rsidRDefault="0022086B">
      <w:pPr>
        <w:pBdr>
          <w:top w:val="nil"/>
          <w:left w:val="nil"/>
          <w:bottom w:val="nil"/>
          <w:right w:val="nil"/>
          <w:between w:val="nil"/>
        </w:pBdr>
        <w:jc w:val="both"/>
        <w:rPr>
          <w:rFonts w:ascii="Garamond" w:eastAsia="Garamond" w:hAnsi="Garamond" w:cs="Garamond"/>
          <w:color w:val="000000"/>
        </w:rPr>
      </w:pPr>
    </w:p>
    <w:p w14:paraId="3FEDEDB2" w14:textId="77777777" w:rsidR="0022086B" w:rsidRPr="00C04C4B" w:rsidRDefault="0065443B" w:rsidP="00A23238">
      <w:pPr>
        <w:numPr>
          <w:ilvl w:val="0"/>
          <w:numId w:val="10"/>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 xml:space="preserve">EL INTERVENTOR asumirá el pago de salarios, prestaciones e indemnizaciones de carácter laboral </w:t>
      </w:r>
      <w:r w:rsidRPr="00C04C4B">
        <w:rPr>
          <w:rFonts w:ascii="Garamond" w:eastAsia="Garamond" w:hAnsi="Garamond" w:cs="Garamond"/>
          <w:color w:val="000000"/>
        </w:rPr>
        <w:lastRenderedPageBreak/>
        <w:t>del personal que contrate para la ejecución del proyecto, lo mismo que el pago de los impuestos, gravámenes, aportes parafiscales, y servicios de cualquier género que establezcan las Leyes Colombianas. En virtud de lo anterior, EL INTERVENTOR deberá dar cumplimento de lo señalado en el artículo 50 de la Ley 789 de 2002, para lo cual deberá aportar a EL FONDO, certificación expedida por el revisor fiscal (cuando exista), del cumplimiento de sus obligaciones con el Sistema de Seguridad Social Integral (Sistema de Salud, Pensiones y Riesgos Laborales), y aportes a la caja de compensación familiar, cuando a ello hubiere lugar, obligación que deberá adjuntarse con el informe del supervisor y deberá ser verificado por este. Adicionalmente a la liquidación del contrato el interventor del mismo, deberá verificar y dejar constancia del cumplimiento de las obligaciones de EL INTERVENTOR frente a los aportes y obligaciones antes señaladas.</w:t>
      </w:r>
    </w:p>
    <w:p w14:paraId="25C49ED5" w14:textId="77777777" w:rsidR="0022086B" w:rsidRPr="00C04C4B" w:rsidRDefault="0022086B">
      <w:pPr>
        <w:pBdr>
          <w:top w:val="nil"/>
          <w:left w:val="nil"/>
          <w:bottom w:val="nil"/>
          <w:right w:val="nil"/>
          <w:between w:val="nil"/>
        </w:pBdr>
        <w:ind w:left="720"/>
        <w:jc w:val="both"/>
        <w:rPr>
          <w:rFonts w:ascii="Garamond" w:eastAsia="Garamond" w:hAnsi="Garamond" w:cs="Garamond"/>
          <w:color w:val="000000"/>
        </w:rPr>
      </w:pPr>
    </w:p>
    <w:p w14:paraId="030E0AB4" w14:textId="77777777" w:rsidR="0022086B" w:rsidRPr="00C04C4B" w:rsidRDefault="0065443B">
      <w:pPr>
        <w:jc w:val="both"/>
        <w:rPr>
          <w:rFonts w:ascii="Garamond" w:eastAsia="Garamond" w:hAnsi="Garamond" w:cs="Garamond"/>
          <w:b/>
        </w:rPr>
      </w:pPr>
      <w:r w:rsidRPr="00C04C4B">
        <w:rPr>
          <w:rFonts w:ascii="Garamond" w:eastAsia="Garamond" w:hAnsi="Garamond" w:cs="Garamond"/>
          <w:b/>
        </w:rPr>
        <w:t>9.7 OBLIGACIONES DE LA ENTIDAD</w:t>
      </w:r>
    </w:p>
    <w:p w14:paraId="4CBD4D24" w14:textId="77777777" w:rsidR="0022086B" w:rsidRPr="00C04C4B" w:rsidRDefault="0022086B">
      <w:pPr>
        <w:jc w:val="both"/>
        <w:rPr>
          <w:rFonts w:ascii="Garamond" w:eastAsia="Garamond" w:hAnsi="Garamond" w:cs="Garamond"/>
        </w:rPr>
      </w:pPr>
    </w:p>
    <w:p w14:paraId="15454F4D" w14:textId="77777777" w:rsidR="0022086B" w:rsidRPr="00C04C4B" w:rsidRDefault="0065443B" w:rsidP="00A23238">
      <w:pPr>
        <w:numPr>
          <w:ilvl w:val="0"/>
          <w:numId w:val="11"/>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Verificar a través del supervisor la correcta ejecución del objeto contratado.</w:t>
      </w:r>
    </w:p>
    <w:p w14:paraId="1EFFF2B3" w14:textId="77777777" w:rsidR="0022086B" w:rsidRPr="00C04C4B" w:rsidRDefault="0022086B">
      <w:pPr>
        <w:jc w:val="both"/>
        <w:rPr>
          <w:rFonts w:ascii="Garamond" w:eastAsia="Garamond" w:hAnsi="Garamond" w:cs="Garamond"/>
        </w:rPr>
      </w:pPr>
    </w:p>
    <w:p w14:paraId="5C0E7991" w14:textId="77777777" w:rsidR="0022086B" w:rsidRPr="00C04C4B" w:rsidRDefault="0065443B" w:rsidP="00A23238">
      <w:pPr>
        <w:numPr>
          <w:ilvl w:val="0"/>
          <w:numId w:val="11"/>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Suministrar oportunamente la información, herramientas y apoyo logístico que se requiera para el cumplimiento de las obligaciones contractuales.</w:t>
      </w:r>
    </w:p>
    <w:p w14:paraId="325AA6E3" w14:textId="77777777" w:rsidR="0022086B" w:rsidRPr="00C04C4B" w:rsidRDefault="0022086B">
      <w:pPr>
        <w:pBdr>
          <w:top w:val="nil"/>
          <w:left w:val="nil"/>
          <w:bottom w:val="nil"/>
          <w:right w:val="nil"/>
          <w:between w:val="nil"/>
        </w:pBdr>
        <w:ind w:left="1416" w:hanging="360"/>
        <w:jc w:val="both"/>
        <w:rPr>
          <w:rFonts w:ascii="Garamond" w:eastAsia="Garamond" w:hAnsi="Garamond" w:cs="Garamond"/>
          <w:color w:val="000000"/>
        </w:rPr>
      </w:pPr>
    </w:p>
    <w:p w14:paraId="5AC12BEE" w14:textId="77777777" w:rsidR="0022086B" w:rsidRPr="00C04C4B" w:rsidRDefault="0065443B" w:rsidP="00A23238">
      <w:pPr>
        <w:numPr>
          <w:ilvl w:val="0"/>
          <w:numId w:val="11"/>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Pagar el valor del contrato en las condiciones pactadas.</w:t>
      </w:r>
    </w:p>
    <w:p w14:paraId="3FBF1EA8" w14:textId="77777777" w:rsidR="0022086B" w:rsidRPr="00C04C4B" w:rsidRDefault="0065443B" w:rsidP="00A23238">
      <w:pPr>
        <w:numPr>
          <w:ilvl w:val="0"/>
          <w:numId w:val="11"/>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Verificar que el contratista realice el pago de aportes al sistema de seguridad social integral, parafiscales, ICBF, SENA y cajas de compensación familiar (cuando a ello haya lugar), en las condiciones establecidas por la normatividad vigente.</w:t>
      </w:r>
    </w:p>
    <w:p w14:paraId="2207DAAA" w14:textId="77777777" w:rsidR="0022086B" w:rsidRPr="00C04C4B" w:rsidRDefault="0065443B" w:rsidP="00A23238">
      <w:pPr>
        <w:numPr>
          <w:ilvl w:val="0"/>
          <w:numId w:val="11"/>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Verificar a través del supervisor del contrato, que el contratista de cumplimiento a las condiciones establecidas en la Directiva 01 de 2011 relacionada con la inclusión económica de las personas vulnerables, marginadas y/o excluidas de la dinámica productiva de la ciudad (cuando haya lugar).</w:t>
      </w:r>
    </w:p>
    <w:p w14:paraId="225C781D" w14:textId="77777777" w:rsidR="0022086B" w:rsidRPr="00C04C4B" w:rsidRDefault="0065443B" w:rsidP="00A23238">
      <w:pPr>
        <w:numPr>
          <w:ilvl w:val="0"/>
          <w:numId w:val="11"/>
        </w:numPr>
        <w:pBdr>
          <w:top w:val="nil"/>
          <w:left w:val="nil"/>
          <w:bottom w:val="nil"/>
          <w:right w:val="nil"/>
          <w:between w:val="nil"/>
        </w:pBdr>
        <w:jc w:val="both"/>
        <w:rPr>
          <w:rFonts w:ascii="Garamond" w:eastAsia="Garamond" w:hAnsi="Garamond" w:cs="Garamond"/>
          <w:color w:val="000000"/>
        </w:rPr>
      </w:pPr>
      <w:r w:rsidRPr="00C04C4B">
        <w:rPr>
          <w:rFonts w:ascii="Garamond" w:eastAsia="Garamond" w:hAnsi="Garamond" w:cs="Garamond"/>
          <w:color w:val="000000"/>
        </w:rPr>
        <w:t>Las demás establecidas en la normatividad vigente.</w:t>
      </w:r>
    </w:p>
    <w:p w14:paraId="5078A788" w14:textId="77777777" w:rsidR="0022086B" w:rsidRPr="00C04C4B" w:rsidRDefault="0022086B">
      <w:pPr>
        <w:jc w:val="both"/>
        <w:rPr>
          <w:rFonts w:ascii="Garamond" w:eastAsia="Garamond" w:hAnsi="Garamond" w:cs="Garamond"/>
        </w:rPr>
      </w:pPr>
    </w:p>
    <w:p w14:paraId="3FBFF2AF" w14:textId="77777777" w:rsidR="0022086B" w:rsidRPr="00C04C4B" w:rsidRDefault="0065443B">
      <w:pPr>
        <w:jc w:val="both"/>
        <w:rPr>
          <w:rFonts w:ascii="Garamond" w:eastAsia="Garamond" w:hAnsi="Garamond" w:cs="Garamond"/>
          <w:b/>
        </w:rPr>
      </w:pPr>
      <w:r w:rsidRPr="00C04C4B">
        <w:rPr>
          <w:rFonts w:ascii="Garamond" w:eastAsia="Garamond" w:hAnsi="Garamond" w:cs="Garamond"/>
          <w:b/>
        </w:rPr>
        <w:t>9.8 SUPERVISIÓN</w:t>
      </w:r>
    </w:p>
    <w:p w14:paraId="41CDFB17" w14:textId="77777777" w:rsidR="0022086B" w:rsidRPr="00C04C4B" w:rsidRDefault="0022086B">
      <w:pPr>
        <w:jc w:val="both"/>
        <w:rPr>
          <w:rFonts w:ascii="Garamond" w:eastAsia="Garamond" w:hAnsi="Garamond" w:cs="Garamond"/>
        </w:rPr>
      </w:pPr>
    </w:p>
    <w:p w14:paraId="16268131" w14:textId="77777777" w:rsidR="0022086B" w:rsidRPr="00C04C4B" w:rsidRDefault="0065443B">
      <w:pPr>
        <w:jc w:val="both"/>
        <w:rPr>
          <w:rFonts w:ascii="Garamond" w:eastAsia="Garamond" w:hAnsi="Garamond" w:cs="Garamond"/>
        </w:rPr>
      </w:pPr>
      <w:r w:rsidRPr="00C04C4B">
        <w:rPr>
          <w:rFonts w:ascii="Garamond" w:eastAsia="Garamond" w:hAnsi="Garamond" w:cs="Garamond"/>
        </w:rPr>
        <w:t>La supervisión del contrato será ejercida por el alcalde Local de TUNJUELITO</w:t>
      </w:r>
    </w:p>
    <w:p w14:paraId="5E36F47D" w14:textId="77777777" w:rsidR="0022086B" w:rsidRPr="00C04C4B" w:rsidRDefault="0022086B">
      <w:pPr>
        <w:jc w:val="both"/>
        <w:rPr>
          <w:rFonts w:ascii="Garamond" w:eastAsia="Garamond" w:hAnsi="Garamond" w:cs="Garamond"/>
        </w:rPr>
      </w:pPr>
    </w:p>
    <w:p w14:paraId="7D4E4862" w14:textId="77777777" w:rsidR="0022086B" w:rsidRPr="00C04C4B" w:rsidRDefault="0065443B">
      <w:pPr>
        <w:jc w:val="both"/>
        <w:rPr>
          <w:rFonts w:ascii="Garamond" w:eastAsia="Garamond" w:hAnsi="Garamond" w:cs="Garamond"/>
        </w:rPr>
      </w:pPr>
      <w:r w:rsidRPr="00C04C4B">
        <w:rPr>
          <w:rFonts w:ascii="Garamond" w:eastAsia="Garamond" w:hAnsi="Garamond" w:cs="Garamond"/>
        </w:rPr>
        <w:t>El supervisor ejercerá sus obligaciones conforme a lo establecido en el Manual de Contratación de la SECRETARÍA, y está obligado a vigilar permanentemente la correcta ejecución del objeto contratado. El supervisor deberá realizar un seguimiento técnico, administrativo, financiero, contable y jurídico sobre el cumplimiento del objeto del contrato, en concordancia con el artículo 83 de la Ley 1474 de 2011.</w:t>
      </w:r>
    </w:p>
    <w:p w14:paraId="3F3BC3CC" w14:textId="77777777" w:rsidR="0022086B" w:rsidRPr="00C04C4B" w:rsidRDefault="0022086B">
      <w:pPr>
        <w:jc w:val="both"/>
        <w:rPr>
          <w:rFonts w:ascii="Garamond" w:eastAsia="Garamond" w:hAnsi="Garamond" w:cs="Garamond"/>
        </w:rPr>
      </w:pPr>
    </w:p>
    <w:p w14:paraId="72D34E09" w14:textId="77777777" w:rsidR="0022086B" w:rsidRPr="00C04C4B" w:rsidRDefault="0065443B">
      <w:pPr>
        <w:jc w:val="both"/>
        <w:rPr>
          <w:rFonts w:ascii="Garamond" w:eastAsia="Garamond" w:hAnsi="Garamond" w:cs="Garamond"/>
        </w:rPr>
      </w:pPr>
      <w:r w:rsidRPr="00C04C4B">
        <w:rPr>
          <w:rFonts w:ascii="Garamond" w:eastAsia="Garamond" w:hAnsi="Garamond" w:cs="Garamond"/>
        </w:rPr>
        <w:t>Para tal fin deberá cumplir con las facultades y deberes establecidos en la referida ley y las demás normas concordantes vigentes.</w:t>
      </w:r>
    </w:p>
    <w:p w14:paraId="2F65A2CF" w14:textId="77777777" w:rsidR="0022086B" w:rsidRPr="00C04C4B" w:rsidRDefault="0022086B">
      <w:pPr>
        <w:jc w:val="both"/>
        <w:rPr>
          <w:rFonts w:ascii="Garamond" w:eastAsia="Garamond" w:hAnsi="Garamond" w:cs="Garamond"/>
        </w:rPr>
      </w:pPr>
    </w:p>
    <w:p w14:paraId="6923BCA2" w14:textId="77777777" w:rsidR="0022086B" w:rsidRPr="00C04C4B" w:rsidRDefault="0065443B">
      <w:pPr>
        <w:jc w:val="both"/>
        <w:rPr>
          <w:rFonts w:ascii="Garamond" w:eastAsia="Garamond" w:hAnsi="Garamond" w:cs="Garamond"/>
        </w:rPr>
      </w:pPr>
      <w:r w:rsidRPr="00C04C4B">
        <w:rPr>
          <w:rFonts w:ascii="Garamond" w:eastAsia="Garamond" w:hAnsi="Garamond" w:cs="Garamond"/>
        </w:rPr>
        <w:t xml:space="preserve">El alcalde Local de TUNJUELITO podrá designar mediante comunicación escrita un servidor Público y/o contratista que se denominara “apoyo a la supervisión” y que tendrá como función apoyar a este en la </w:t>
      </w:r>
      <w:r w:rsidRPr="00C04C4B">
        <w:rPr>
          <w:rFonts w:ascii="Garamond" w:eastAsia="Garamond" w:hAnsi="Garamond" w:cs="Garamond"/>
        </w:rPr>
        <w:lastRenderedPageBreak/>
        <w:t>supervisión en la ejecución de las obligaciones contractuales que se deriven del contrato.</w:t>
      </w:r>
    </w:p>
    <w:p w14:paraId="1B088019" w14:textId="77777777" w:rsidR="0022086B" w:rsidRPr="00C04C4B" w:rsidRDefault="0022086B">
      <w:pPr>
        <w:jc w:val="both"/>
        <w:rPr>
          <w:rFonts w:ascii="Garamond" w:eastAsia="Garamond" w:hAnsi="Garamond" w:cs="Garamond"/>
        </w:rPr>
      </w:pPr>
    </w:p>
    <w:p w14:paraId="3027127A" w14:textId="77777777" w:rsidR="0022086B" w:rsidRPr="00C04C4B" w:rsidRDefault="0065443B">
      <w:pPr>
        <w:jc w:val="both"/>
        <w:rPr>
          <w:rFonts w:ascii="Garamond" w:eastAsia="Garamond" w:hAnsi="Garamond" w:cs="Garamond"/>
        </w:rPr>
      </w:pPr>
      <w:r w:rsidRPr="00C04C4B">
        <w:rPr>
          <w:rFonts w:ascii="Garamond" w:eastAsia="Garamond" w:hAnsi="Garamond" w:cs="Garamond"/>
        </w:rPr>
        <w:t>En ningún caso el supervisor del contrato podrá delegar la supervisión de contrato en un tercero.</w:t>
      </w:r>
    </w:p>
    <w:p w14:paraId="65FCB287" w14:textId="77777777" w:rsidR="0022086B" w:rsidRPr="00C04C4B" w:rsidRDefault="0022086B">
      <w:pPr>
        <w:jc w:val="both"/>
        <w:rPr>
          <w:rFonts w:ascii="Garamond" w:eastAsia="Garamond" w:hAnsi="Garamond" w:cs="Garamond"/>
        </w:rPr>
      </w:pPr>
    </w:p>
    <w:p w14:paraId="2A59C793" w14:textId="77777777" w:rsidR="0022086B" w:rsidRPr="00C04C4B" w:rsidRDefault="0065443B">
      <w:pPr>
        <w:jc w:val="both"/>
        <w:rPr>
          <w:rFonts w:ascii="Garamond" w:eastAsia="Garamond" w:hAnsi="Garamond" w:cs="Garamond"/>
        </w:rPr>
      </w:pPr>
      <w:r w:rsidRPr="00C04C4B">
        <w:rPr>
          <w:rFonts w:ascii="Garamond" w:eastAsia="Garamond" w:hAnsi="Garamond" w:cs="Garamond"/>
        </w:rPr>
        <w:t>En todo caso el ordenador del gasto podrá variar unilateralmente de manera temporal o definitiva la designación del supervisor, a través de la correspondiente modificación de la minuta contractual.</w:t>
      </w:r>
    </w:p>
    <w:p w14:paraId="514A26C5" w14:textId="77777777" w:rsidR="0022086B" w:rsidRPr="00C04C4B" w:rsidRDefault="0022086B">
      <w:pPr>
        <w:jc w:val="both"/>
        <w:rPr>
          <w:rFonts w:ascii="Garamond" w:eastAsia="Garamond" w:hAnsi="Garamond" w:cs="Garamond"/>
        </w:rPr>
      </w:pPr>
    </w:p>
    <w:p w14:paraId="24BE41A3" w14:textId="77777777" w:rsidR="0022086B" w:rsidRPr="00C04C4B" w:rsidRDefault="0065443B">
      <w:pPr>
        <w:jc w:val="both"/>
        <w:rPr>
          <w:rFonts w:ascii="Garamond" w:eastAsia="Garamond" w:hAnsi="Garamond" w:cs="Garamond"/>
          <w:b/>
        </w:rPr>
      </w:pPr>
      <w:r w:rsidRPr="00C04C4B">
        <w:rPr>
          <w:rFonts w:ascii="Garamond" w:eastAsia="Garamond" w:hAnsi="Garamond" w:cs="Garamond"/>
          <w:b/>
        </w:rPr>
        <w:t>9.9 LIQUIDACIÓN</w:t>
      </w:r>
    </w:p>
    <w:p w14:paraId="31E8DD89" w14:textId="77777777" w:rsidR="0022086B" w:rsidRPr="00C04C4B" w:rsidRDefault="0022086B">
      <w:pPr>
        <w:jc w:val="both"/>
        <w:rPr>
          <w:rFonts w:ascii="Garamond" w:eastAsia="Garamond" w:hAnsi="Garamond" w:cs="Garamond"/>
        </w:rPr>
      </w:pPr>
    </w:p>
    <w:p w14:paraId="4D87AA02" w14:textId="77777777" w:rsidR="0022086B" w:rsidRPr="00C04C4B" w:rsidRDefault="0065443B">
      <w:pPr>
        <w:jc w:val="both"/>
        <w:rPr>
          <w:rFonts w:ascii="Garamond" w:eastAsia="Garamond" w:hAnsi="Garamond" w:cs="Garamond"/>
        </w:rPr>
      </w:pPr>
      <w:r w:rsidRPr="00C04C4B">
        <w:rPr>
          <w:rFonts w:ascii="Garamond" w:eastAsia="Garamond" w:hAnsi="Garamond" w:cs="Garamond"/>
        </w:rPr>
        <w:t>La liquidación se realizará dentro de los cuatro (04) meses siguientes a la expiración del término previsto para la ejecución del contrato o a la expedición del acto administrativo que ordene la terminación, o a la fecha del acuerdo que la disponga.</w:t>
      </w:r>
    </w:p>
    <w:p w14:paraId="6891F560" w14:textId="77777777" w:rsidR="0022086B" w:rsidRPr="00C04C4B" w:rsidRDefault="0022086B">
      <w:pPr>
        <w:jc w:val="both"/>
        <w:rPr>
          <w:rFonts w:ascii="Garamond" w:eastAsia="Garamond" w:hAnsi="Garamond" w:cs="Garamond"/>
        </w:rPr>
      </w:pPr>
    </w:p>
    <w:p w14:paraId="427F5E3C" w14:textId="77777777" w:rsidR="0022086B" w:rsidRPr="00C04C4B" w:rsidRDefault="0065443B">
      <w:pPr>
        <w:jc w:val="both"/>
        <w:rPr>
          <w:rFonts w:ascii="Garamond" w:eastAsia="Garamond" w:hAnsi="Garamond" w:cs="Garamond"/>
        </w:rPr>
      </w:pPr>
      <w:r w:rsidRPr="00C04C4B">
        <w:rPr>
          <w:rFonts w:ascii="Garamond" w:eastAsia="Garamond" w:hAnsi="Garamond" w:cs="Garamond"/>
        </w:rPr>
        <w:t>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w:t>
      </w:r>
    </w:p>
    <w:p w14:paraId="2B4EEF07" w14:textId="77777777" w:rsidR="0022086B" w:rsidRPr="00C04C4B" w:rsidRDefault="0022086B">
      <w:pPr>
        <w:jc w:val="both"/>
        <w:rPr>
          <w:rFonts w:ascii="Garamond" w:eastAsia="Garamond" w:hAnsi="Garamond" w:cs="Garamond"/>
        </w:rPr>
      </w:pPr>
    </w:p>
    <w:p w14:paraId="0E34A11C" w14:textId="77777777" w:rsidR="0022086B" w:rsidRPr="00C04C4B" w:rsidRDefault="0065443B">
      <w:pPr>
        <w:jc w:val="both"/>
        <w:rPr>
          <w:rFonts w:ascii="Garamond" w:eastAsia="Garamond" w:hAnsi="Garamond" w:cs="Garamond"/>
        </w:rPr>
      </w:pPr>
      <w:r w:rsidRPr="00C04C4B">
        <w:rPr>
          <w:rFonts w:ascii="Garamond" w:eastAsia="Garamond" w:hAnsi="Garamond" w:cs="Garamond"/>
        </w:rPr>
        <w:t>Si vencido el plazo anteriormente establecido no se ha realizado la liquidación, la misma se podrá efectuar en cualquier tiempo dentro de los dos (2) años siguientes al vencimiento de los términos mencionados anteriormente, de mutuo acuerdo o unilateralmente. El (los) contratista(s) tendrá(n) derecho a efectuar salvedades a la liquidación por mutuo acuerdo y en este evento la liquidación unilateral solo procederá en relación con los aspectos que no hayan sido objeto de acuerdo.</w:t>
      </w:r>
    </w:p>
    <w:p w14:paraId="1415602E" w14:textId="77777777" w:rsidR="0022086B" w:rsidRPr="00C04C4B" w:rsidRDefault="0022086B">
      <w:pPr>
        <w:jc w:val="both"/>
        <w:rPr>
          <w:rFonts w:ascii="Garamond" w:eastAsia="Garamond" w:hAnsi="Garamond" w:cs="Garamond"/>
        </w:rPr>
      </w:pPr>
    </w:p>
    <w:p w14:paraId="1317703F" w14:textId="77777777" w:rsidR="0022086B" w:rsidRPr="00C04C4B" w:rsidRDefault="0065443B">
      <w:pPr>
        <w:jc w:val="both"/>
        <w:rPr>
          <w:rFonts w:ascii="Garamond" w:eastAsia="Garamond" w:hAnsi="Garamond" w:cs="Garamond"/>
          <w:b/>
        </w:rPr>
      </w:pPr>
      <w:r w:rsidRPr="00C04C4B">
        <w:rPr>
          <w:rFonts w:ascii="Garamond" w:eastAsia="Garamond" w:hAnsi="Garamond" w:cs="Garamond"/>
          <w:b/>
        </w:rPr>
        <w:t>9.10 FORMATOS DE LA PROPUESTA (ANEXO).</w:t>
      </w:r>
    </w:p>
    <w:p w14:paraId="0539E8D2" w14:textId="77777777" w:rsidR="0022086B" w:rsidRPr="00C04C4B" w:rsidRDefault="0022086B">
      <w:pPr>
        <w:jc w:val="both"/>
        <w:rPr>
          <w:rFonts w:ascii="Garamond" w:eastAsia="Garamond" w:hAnsi="Garamond" w:cs="Garamond"/>
        </w:rPr>
      </w:pPr>
    </w:p>
    <w:p w14:paraId="19A58227" w14:textId="77777777" w:rsidR="0022086B" w:rsidRPr="00C04C4B" w:rsidRDefault="0065443B">
      <w:pPr>
        <w:jc w:val="both"/>
        <w:rPr>
          <w:rFonts w:ascii="Garamond" w:eastAsia="Garamond" w:hAnsi="Garamond" w:cs="Garamond"/>
        </w:rPr>
      </w:pPr>
      <w:r w:rsidRPr="00C04C4B">
        <w:rPr>
          <w:rFonts w:ascii="Garamond" w:eastAsia="Garamond" w:hAnsi="Garamond" w:cs="Garamond"/>
        </w:rPr>
        <w:t>Los establecidos en el pliego de condiciones anexos al presente proceso de selección</w:t>
      </w:r>
    </w:p>
    <w:p w14:paraId="7D7EDF0A" w14:textId="77777777" w:rsidR="0022086B" w:rsidRPr="00C04C4B" w:rsidRDefault="0022086B">
      <w:pPr>
        <w:jc w:val="both"/>
        <w:rPr>
          <w:rFonts w:ascii="Garamond" w:eastAsia="Garamond" w:hAnsi="Garamond" w:cs="Garamond"/>
        </w:rPr>
      </w:pPr>
    </w:p>
    <w:p w14:paraId="073F90C7" w14:textId="77777777" w:rsidR="0022086B" w:rsidRPr="00C04C4B" w:rsidRDefault="0065443B">
      <w:pPr>
        <w:jc w:val="both"/>
        <w:rPr>
          <w:rFonts w:ascii="Garamond" w:eastAsia="Garamond" w:hAnsi="Garamond" w:cs="Garamond"/>
          <w:b/>
        </w:rPr>
      </w:pPr>
      <w:r w:rsidRPr="00C04C4B">
        <w:rPr>
          <w:rFonts w:ascii="Garamond" w:eastAsia="Garamond" w:hAnsi="Garamond" w:cs="Garamond"/>
          <w:b/>
        </w:rPr>
        <w:t>9.11 ACOMPAÑAMIENTO DE LA VEEDURÍA DISTRITAL</w:t>
      </w:r>
    </w:p>
    <w:p w14:paraId="2CA1C570" w14:textId="77777777" w:rsidR="0022086B" w:rsidRPr="00C04C4B" w:rsidRDefault="0022086B">
      <w:pPr>
        <w:jc w:val="both"/>
        <w:rPr>
          <w:rFonts w:ascii="Garamond" w:eastAsia="Garamond" w:hAnsi="Garamond" w:cs="Garamond"/>
        </w:rPr>
      </w:pPr>
    </w:p>
    <w:p w14:paraId="5520146E" w14:textId="77777777" w:rsidR="0022086B" w:rsidRPr="00C04C4B" w:rsidRDefault="0065443B">
      <w:pPr>
        <w:jc w:val="both"/>
        <w:rPr>
          <w:rFonts w:ascii="Garamond" w:eastAsia="Garamond" w:hAnsi="Garamond" w:cs="Garamond"/>
        </w:rPr>
      </w:pPr>
      <w:r w:rsidRPr="00C04C4B">
        <w:rPr>
          <w:rFonts w:ascii="Garamond" w:eastAsia="Garamond" w:hAnsi="Garamond" w:cs="Garamond"/>
        </w:rPr>
        <w:t xml:space="preserve">Cuando el presente proceso de selección cuente con el acompañamiento de la VEEDURÍA DISTRITAL, de conformidad con la facultad que le corresponde a esa Entidad, en los términos de Ley, el </w:t>
      </w:r>
      <w:proofErr w:type="spellStart"/>
      <w:r w:rsidRPr="00C04C4B">
        <w:rPr>
          <w:rFonts w:ascii="Garamond" w:eastAsia="Garamond" w:hAnsi="Garamond" w:cs="Garamond"/>
        </w:rPr>
        <w:t>FDL</w:t>
      </w:r>
      <w:proofErr w:type="spellEnd"/>
      <w:r w:rsidRPr="00C04C4B">
        <w:rPr>
          <w:rFonts w:ascii="Garamond" w:eastAsia="Garamond" w:hAnsi="Garamond" w:cs="Garamond"/>
        </w:rPr>
        <w:t xml:space="preserve"> facilitará a los funcionarios involucrados en el proceso de selección, la participación en la construcción de un acuerdo colectivo de contenido ético, dentro del “Procedimiento de acompañamiento preventivo para el mejoramiento de la gestión contractual de las Entidades del Distrito Capital”, que desarrolla la VEEDURÍA DISTRITAL.</w:t>
      </w:r>
    </w:p>
    <w:p w14:paraId="4ABCA962" w14:textId="77777777" w:rsidR="0022086B" w:rsidRPr="00C04C4B" w:rsidRDefault="0022086B">
      <w:pPr>
        <w:jc w:val="both"/>
        <w:rPr>
          <w:rFonts w:ascii="Garamond" w:eastAsia="Garamond" w:hAnsi="Garamond" w:cs="Garamond"/>
        </w:rPr>
      </w:pPr>
    </w:p>
    <w:p w14:paraId="42BB043F" w14:textId="77777777" w:rsidR="0022086B" w:rsidRPr="00C04C4B" w:rsidRDefault="0065443B">
      <w:pPr>
        <w:jc w:val="both"/>
        <w:rPr>
          <w:rFonts w:ascii="Garamond" w:eastAsia="Garamond" w:hAnsi="Garamond" w:cs="Garamond"/>
        </w:rPr>
      </w:pPr>
      <w:r w:rsidRPr="00C04C4B">
        <w:rPr>
          <w:rFonts w:ascii="Garamond" w:eastAsia="Garamond" w:hAnsi="Garamond" w:cs="Garamond"/>
        </w:rPr>
        <w:t xml:space="preserve">La Veeduría Distrital se encuentra ubicada en la Avenida el Dorado No. 69-76, Torre 1 piso 3, Edificio Elemento Tel.: 3407666, ext. 501, correo electrónico: </w:t>
      </w:r>
      <w:hyperlink r:id="rId21">
        <w:r w:rsidRPr="00C04C4B">
          <w:rPr>
            <w:rFonts w:ascii="Garamond" w:eastAsia="Garamond" w:hAnsi="Garamond" w:cs="Garamond"/>
            <w:color w:val="0000FF"/>
            <w:u w:val="single"/>
          </w:rPr>
          <w:t>correspondencia@veeduriadistrital.gov.co</w:t>
        </w:r>
      </w:hyperlink>
      <w:r w:rsidRPr="00C04C4B">
        <w:rPr>
          <w:rFonts w:ascii="Garamond" w:eastAsia="Garamond" w:hAnsi="Garamond" w:cs="Garamond"/>
        </w:rPr>
        <w:t xml:space="preserve"> o </w:t>
      </w:r>
      <w:hyperlink r:id="rId22">
        <w:r w:rsidRPr="00C04C4B">
          <w:rPr>
            <w:rFonts w:ascii="Garamond" w:eastAsia="Garamond" w:hAnsi="Garamond" w:cs="Garamond"/>
            <w:color w:val="0000FF"/>
            <w:u w:val="single"/>
          </w:rPr>
          <w:t>denuncie@veeduriadistrital.gov.co</w:t>
        </w:r>
      </w:hyperlink>
    </w:p>
    <w:p w14:paraId="1B9EB117" w14:textId="77777777" w:rsidR="0022086B" w:rsidRPr="00C04C4B" w:rsidRDefault="0022086B">
      <w:pPr>
        <w:jc w:val="both"/>
        <w:rPr>
          <w:rFonts w:ascii="Garamond" w:eastAsia="Garamond" w:hAnsi="Garamond" w:cs="Garamond"/>
        </w:rPr>
      </w:pPr>
    </w:p>
    <w:p w14:paraId="31FC8EC8" w14:textId="77777777" w:rsidR="0022086B" w:rsidRPr="00C04C4B" w:rsidRDefault="0065443B">
      <w:pPr>
        <w:jc w:val="both"/>
        <w:rPr>
          <w:rFonts w:ascii="Garamond" w:eastAsia="Garamond" w:hAnsi="Garamond" w:cs="Garamond"/>
          <w:b/>
        </w:rPr>
      </w:pPr>
      <w:r w:rsidRPr="00C04C4B">
        <w:rPr>
          <w:rFonts w:ascii="Garamond" w:eastAsia="Garamond" w:hAnsi="Garamond" w:cs="Garamond"/>
          <w:b/>
        </w:rPr>
        <w:t>9.12 LUCHA CONTRA LA CORRUPCIÓN</w:t>
      </w:r>
    </w:p>
    <w:p w14:paraId="40FE56D0" w14:textId="77777777" w:rsidR="0022086B" w:rsidRPr="00C04C4B" w:rsidRDefault="0022086B">
      <w:pPr>
        <w:jc w:val="both"/>
        <w:rPr>
          <w:rFonts w:ascii="Garamond" w:eastAsia="Garamond" w:hAnsi="Garamond" w:cs="Garamond"/>
        </w:rPr>
      </w:pPr>
    </w:p>
    <w:p w14:paraId="78554054" w14:textId="77777777" w:rsidR="0022086B" w:rsidRPr="00C04C4B" w:rsidRDefault="0065443B">
      <w:pPr>
        <w:jc w:val="both"/>
        <w:rPr>
          <w:rFonts w:ascii="Garamond" w:eastAsia="Garamond" w:hAnsi="Garamond" w:cs="Garamond"/>
        </w:rPr>
      </w:pPr>
      <w:r w:rsidRPr="00C04C4B">
        <w:rPr>
          <w:rFonts w:ascii="Garamond" w:eastAsia="Garamond" w:hAnsi="Garamond" w:cs="Garamond"/>
        </w:rPr>
        <w:lastRenderedPageBreak/>
        <w:t>En el evento de conocerse casos de corrupción en las Entidades del Estado, se debe reportar el hecho a la Secretaria de Transparencia de la Presidencia de la Republica a través de los números telefónicos:</w:t>
      </w:r>
    </w:p>
    <w:p w14:paraId="7991BD64" w14:textId="77777777" w:rsidR="0022086B" w:rsidRPr="00C04C4B" w:rsidRDefault="0022086B">
      <w:pPr>
        <w:jc w:val="both"/>
        <w:rPr>
          <w:rFonts w:ascii="Garamond" w:eastAsia="Garamond" w:hAnsi="Garamond" w:cs="Garamond"/>
        </w:rPr>
      </w:pPr>
    </w:p>
    <w:p w14:paraId="671B8E4D" w14:textId="77777777" w:rsidR="0022086B" w:rsidRPr="00C04C4B" w:rsidRDefault="0065443B">
      <w:pPr>
        <w:jc w:val="both"/>
        <w:rPr>
          <w:rFonts w:ascii="Garamond" w:eastAsia="Garamond" w:hAnsi="Garamond" w:cs="Garamond"/>
        </w:rPr>
      </w:pPr>
      <w:r w:rsidRPr="00C04C4B">
        <w:rPr>
          <w:rFonts w:ascii="Garamond" w:eastAsia="Garamond" w:hAnsi="Garamond" w:cs="Garamond"/>
        </w:rPr>
        <w:t>(571) 5629300, (571) 3822800; vía fax al número telefónico: (571) 3375890; la línea gratis de atención desde cualquier</w:t>
      </w:r>
      <w:r w:rsidRPr="00C04C4B">
        <w:rPr>
          <w:rFonts w:ascii="Garamond" w:eastAsia="Garamond" w:hAnsi="Garamond" w:cs="Garamond"/>
        </w:rPr>
        <w:tab/>
        <w:t>lugar</w:t>
      </w:r>
      <w:r w:rsidRPr="00C04C4B">
        <w:rPr>
          <w:rFonts w:ascii="Garamond" w:eastAsia="Garamond" w:hAnsi="Garamond" w:cs="Garamond"/>
        </w:rPr>
        <w:tab/>
        <w:t>del</w:t>
      </w:r>
      <w:r w:rsidRPr="00C04C4B">
        <w:rPr>
          <w:rFonts w:ascii="Garamond" w:eastAsia="Garamond" w:hAnsi="Garamond" w:cs="Garamond"/>
        </w:rPr>
        <w:tab/>
        <w:t>país:</w:t>
      </w:r>
      <w:r w:rsidRPr="00C04C4B">
        <w:rPr>
          <w:rFonts w:ascii="Garamond" w:eastAsia="Garamond" w:hAnsi="Garamond" w:cs="Garamond"/>
        </w:rPr>
        <w:tab/>
        <w:t>01</w:t>
      </w:r>
      <w:r w:rsidRPr="00C04C4B">
        <w:rPr>
          <w:rFonts w:ascii="Garamond" w:eastAsia="Garamond" w:hAnsi="Garamond" w:cs="Garamond"/>
        </w:rPr>
        <w:tab/>
        <w:t>8000</w:t>
      </w:r>
      <w:r w:rsidRPr="00C04C4B">
        <w:rPr>
          <w:rFonts w:ascii="Garamond" w:eastAsia="Garamond" w:hAnsi="Garamond" w:cs="Garamond"/>
        </w:rPr>
        <w:tab/>
        <w:t>913</w:t>
      </w:r>
      <w:r w:rsidRPr="00C04C4B">
        <w:rPr>
          <w:rFonts w:ascii="Garamond" w:eastAsia="Garamond" w:hAnsi="Garamond" w:cs="Garamond"/>
        </w:rPr>
        <w:tab/>
        <w:t>040</w:t>
      </w:r>
      <w:r w:rsidRPr="00C04C4B">
        <w:rPr>
          <w:rFonts w:ascii="Garamond" w:eastAsia="Garamond" w:hAnsi="Garamond" w:cs="Garamond"/>
        </w:rPr>
        <w:tab/>
        <w:t>o</w:t>
      </w:r>
      <w:r w:rsidRPr="00C04C4B">
        <w:rPr>
          <w:rFonts w:ascii="Garamond" w:eastAsia="Garamond" w:hAnsi="Garamond" w:cs="Garamond"/>
        </w:rPr>
        <w:tab/>
        <w:t>al</w:t>
      </w:r>
      <w:r w:rsidRPr="00C04C4B">
        <w:rPr>
          <w:rFonts w:ascii="Garamond" w:eastAsia="Garamond" w:hAnsi="Garamond" w:cs="Garamond"/>
        </w:rPr>
        <w:tab/>
        <w:t xml:space="preserve">correo electrónico </w:t>
      </w:r>
      <w:hyperlink r:id="rId23">
        <w:r w:rsidRPr="00C04C4B">
          <w:rPr>
            <w:rFonts w:ascii="Garamond" w:eastAsia="Garamond" w:hAnsi="Garamond" w:cs="Garamond"/>
            <w:color w:val="0000FF"/>
            <w:u w:val="single"/>
          </w:rPr>
          <w:t>transparencia@presidencia.gov.co</w:t>
        </w:r>
      </w:hyperlink>
      <w:r w:rsidRPr="00C04C4B">
        <w:rPr>
          <w:rFonts w:ascii="Garamond" w:eastAsia="Garamond" w:hAnsi="Garamond" w:cs="Garamond"/>
        </w:rPr>
        <w:t xml:space="preserve"> y personalmente a la dirección Carrera 8ª No. 7–27 Bogotá D.C.</w:t>
      </w:r>
    </w:p>
    <w:p w14:paraId="272F0C3F" w14:textId="77777777" w:rsidR="0022086B" w:rsidRPr="00C04C4B" w:rsidRDefault="0022086B">
      <w:pPr>
        <w:jc w:val="both"/>
        <w:rPr>
          <w:rFonts w:ascii="Garamond" w:eastAsia="Garamond" w:hAnsi="Garamond" w:cs="Garamond"/>
        </w:rPr>
      </w:pPr>
    </w:p>
    <w:p w14:paraId="52F5926B" w14:textId="77777777" w:rsidR="0022086B" w:rsidRPr="00C04C4B" w:rsidRDefault="0065443B">
      <w:pPr>
        <w:jc w:val="both"/>
        <w:rPr>
          <w:rFonts w:ascii="Garamond" w:eastAsia="Garamond" w:hAnsi="Garamond" w:cs="Garamond"/>
        </w:rPr>
      </w:pPr>
      <w:r w:rsidRPr="00C04C4B">
        <w:rPr>
          <w:rFonts w:ascii="Garamond" w:eastAsia="Garamond" w:hAnsi="Garamond" w:cs="Garamond"/>
        </w:rPr>
        <w:t xml:space="preserve">De la misma manera, teniendo en cuenta que el Decreto No. 189 de 2020 en su artículo 14 dispuso, acerca de Compromisos de integridad y cláusula anticorrupción, que: "En los contratos del Distrito Capital se incorporarán cláusulas mediante las cuales se regule la suscripción de un compromiso de integridad y la no tolerancia con la corrupción. La Secretaría Jurídica Distrital, determinará los lineamientos para el diseño e implementación de la misma. Los procesos contractuales contarán en su apertura y su audiencia de adjudicación con un espacio de sensibilización de la transparencia e integridad. La Secretaría Jurídica Distrital determinará los lineamientos en este proceso” y en razón a que la Secretaría Jurídica Distrital, a través del numeral 1 de la Directiva No. 003 del veinticuatro (24) de febrero de 2021, impartió los lineamientos para la implementación del artículo 14 de la norma Ibidem; en este sentido se invita al </w:t>
      </w:r>
      <w:proofErr w:type="spellStart"/>
      <w:r w:rsidRPr="00C04C4B">
        <w:rPr>
          <w:rFonts w:ascii="Garamond" w:eastAsia="Garamond" w:hAnsi="Garamond" w:cs="Garamond"/>
        </w:rPr>
        <w:t>FDL</w:t>
      </w:r>
      <w:proofErr w:type="spellEnd"/>
      <w:r w:rsidRPr="00C04C4B">
        <w:rPr>
          <w:rFonts w:ascii="Garamond" w:eastAsia="Garamond" w:hAnsi="Garamond" w:cs="Garamond"/>
        </w:rPr>
        <w:t xml:space="preserve"> a tener en consideración la normativa señalada en cuanto la inclusión en las minutas contractuales del compromiso de integridad y no tolerancia con la corrupción así como el señalamiento de las conductas en que no podrán incurrir los contratistas, como los efectos de su incumplimiento.</w:t>
      </w:r>
    </w:p>
    <w:p w14:paraId="31FF024A" w14:textId="77777777" w:rsidR="0022086B" w:rsidRPr="00C04C4B" w:rsidRDefault="0022086B">
      <w:pPr>
        <w:jc w:val="both"/>
        <w:rPr>
          <w:rFonts w:ascii="Garamond" w:eastAsia="Garamond" w:hAnsi="Garamond" w:cs="Garamond"/>
        </w:rPr>
      </w:pPr>
    </w:p>
    <w:p w14:paraId="1F07AE8C" w14:textId="77777777" w:rsidR="0022086B" w:rsidRPr="00C04C4B" w:rsidRDefault="0022086B">
      <w:pPr>
        <w:jc w:val="both"/>
        <w:rPr>
          <w:rFonts w:ascii="Garamond" w:eastAsia="Garamond" w:hAnsi="Garamond" w:cs="Garamond"/>
        </w:rPr>
      </w:pPr>
    </w:p>
    <w:p w14:paraId="04BFE64A" w14:textId="77777777" w:rsidR="0022086B" w:rsidRPr="00C04C4B" w:rsidRDefault="0022086B">
      <w:pPr>
        <w:jc w:val="both"/>
        <w:rPr>
          <w:rFonts w:ascii="Garamond" w:eastAsia="Garamond" w:hAnsi="Garamond" w:cs="Garamond"/>
        </w:rPr>
      </w:pPr>
    </w:p>
    <w:p w14:paraId="50F2458D" w14:textId="77777777" w:rsidR="0022086B" w:rsidRPr="00C04C4B" w:rsidRDefault="0022086B">
      <w:pPr>
        <w:jc w:val="both"/>
        <w:rPr>
          <w:rFonts w:ascii="Garamond" w:eastAsia="Garamond" w:hAnsi="Garamond" w:cs="Garamond"/>
        </w:rPr>
      </w:pPr>
    </w:p>
    <w:p w14:paraId="7963138D" w14:textId="77777777" w:rsidR="0022086B" w:rsidRPr="00C04C4B" w:rsidRDefault="0065443B">
      <w:pPr>
        <w:jc w:val="center"/>
        <w:rPr>
          <w:rFonts w:ascii="Garamond" w:eastAsia="Garamond" w:hAnsi="Garamond" w:cs="Garamond"/>
        </w:rPr>
      </w:pPr>
      <w:r w:rsidRPr="00C04C4B">
        <w:rPr>
          <w:rFonts w:ascii="Garamond" w:eastAsia="Garamond" w:hAnsi="Garamond" w:cs="Garamond"/>
        </w:rPr>
        <w:t xml:space="preserve">CLAUDIA </w:t>
      </w:r>
      <w:proofErr w:type="spellStart"/>
      <w:r w:rsidRPr="00C04C4B">
        <w:rPr>
          <w:rFonts w:ascii="Garamond" w:eastAsia="Garamond" w:hAnsi="Garamond" w:cs="Garamond"/>
        </w:rPr>
        <w:t>VERONICA</w:t>
      </w:r>
      <w:proofErr w:type="spellEnd"/>
      <w:r w:rsidRPr="00C04C4B">
        <w:rPr>
          <w:rFonts w:ascii="Garamond" w:eastAsia="Garamond" w:hAnsi="Garamond" w:cs="Garamond"/>
        </w:rPr>
        <w:t xml:space="preserve"> </w:t>
      </w:r>
      <w:proofErr w:type="spellStart"/>
      <w:r w:rsidRPr="00C04C4B">
        <w:rPr>
          <w:rFonts w:ascii="Garamond" w:eastAsia="Garamond" w:hAnsi="Garamond" w:cs="Garamond"/>
        </w:rPr>
        <w:t>COLLANTE</w:t>
      </w:r>
      <w:proofErr w:type="spellEnd"/>
      <w:r w:rsidRPr="00C04C4B">
        <w:rPr>
          <w:rFonts w:ascii="Garamond" w:eastAsia="Garamond" w:hAnsi="Garamond" w:cs="Garamond"/>
        </w:rPr>
        <w:t xml:space="preserve"> </w:t>
      </w:r>
      <w:proofErr w:type="spellStart"/>
      <w:r w:rsidRPr="00C04C4B">
        <w:rPr>
          <w:rFonts w:ascii="Garamond" w:eastAsia="Garamond" w:hAnsi="Garamond" w:cs="Garamond"/>
        </w:rPr>
        <w:t>DUSSAN</w:t>
      </w:r>
      <w:proofErr w:type="spellEnd"/>
    </w:p>
    <w:p w14:paraId="68F2068D" w14:textId="77777777" w:rsidR="0022086B" w:rsidRPr="00C04C4B" w:rsidRDefault="0065443B">
      <w:pPr>
        <w:jc w:val="center"/>
        <w:rPr>
          <w:rFonts w:ascii="Garamond" w:eastAsia="Garamond" w:hAnsi="Garamond" w:cs="Garamond"/>
        </w:rPr>
      </w:pPr>
      <w:r w:rsidRPr="00C04C4B">
        <w:rPr>
          <w:rFonts w:ascii="Garamond" w:eastAsia="Garamond" w:hAnsi="Garamond" w:cs="Garamond"/>
        </w:rPr>
        <w:t>Alcaldesa Local de Tunjuelito</w:t>
      </w:r>
    </w:p>
    <w:p w14:paraId="27F232A7" w14:textId="77777777" w:rsidR="0022086B" w:rsidRPr="00C04C4B" w:rsidRDefault="0022086B">
      <w:pPr>
        <w:jc w:val="both"/>
        <w:rPr>
          <w:rFonts w:ascii="Garamond" w:eastAsia="Garamond" w:hAnsi="Garamond" w:cs="Garamond"/>
        </w:rPr>
      </w:pPr>
    </w:p>
    <w:tbl>
      <w:tblPr>
        <w:tblStyle w:val="aff9"/>
        <w:tblW w:w="939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7"/>
        <w:gridCol w:w="4263"/>
        <w:gridCol w:w="1744"/>
      </w:tblGrid>
      <w:tr w:rsidR="0022086B" w:rsidRPr="00C04C4B" w14:paraId="25F8F3FE" w14:textId="77777777">
        <w:trPr>
          <w:trHeight w:val="270"/>
        </w:trPr>
        <w:tc>
          <w:tcPr>
            <w:tcW w:w="3387" w:type="dxa"/>
          </w:tcPr>
          <w:p w14:paraId="118E0BEF" w14:textId="77777777" w:rsidR="0022086B" w:rsidRPr="00C04C4B" w:rsidRDefault="0065443B">
            <w:pPr>
              <w:jc w:val="both"/>
              <w:rPr>
                <w:rFonts w:ascii="Garamond" w:eastAsia="Garamond" w:hAnsi="Garamond" w:cs="Garamond"/>
              </w:rPr>
            </w:pPr>
            <w:r w:rsidRPr="00C04C4B">
              <w:rPr>
                <w:rFonts w:ascii="Garamond" w:eastAsia="Garamond" w:hAnsi="Garamond" w:cs="Garamond"/>
              </w:rPr>
              <w:t>Ruta de Verificación</w:t>
            </w:r>
          </w:p>
        </w:tc>
        <w:tc>
          <w:tcPr>
            <w:tcW w:w="4263" w:type="dxa"/>
          </w:tcPr>
          <w:p w14:paraId="116C8C72" w14:textId="77777777" w:rsidR="0022086B" w:rsidRPr="00C04C4B" w:rsidRDefault="0065443B">
            <w:pPr>
              <w:jc w:val="both"/>
              <w:rPr>
                <w:rFonts w:ascii="Garamond" w:eastAsia="Garamond" w:hAnsi="Garamond" w:cs="Garamond"/>
              </w:rPr>
            </w:pPr>
            <w:r w:rsidRPr="00C04C4B">
              <w:rPr>
                <w:rFonts w:ascii="Garamond" w:eastAsia="Garamond" w:hAnsi="Garamond" w:cs="Garamond"/>
              </w:rPr>
              <w:t>Nombre / Cargo</w:t>
            </w:r>
          </w:p>
        </w:tc>
        <w:tc>
          <w:tcPr>
            <w:tcW w:w="1744" w:type="dxa"/>
          </w:tcPr>
          <w:p w14:paraId="0C54A2DF" w14:textId="77777777" w:rsidR="0022086B" w:rsidRPr="00C04C4B" w:rsidRDefault="0065443B">
            <w:pPr>
              <w:jc w:val="both"/>
              <w:rPr>
                <w:rFonts w:ascii="Garamond" w:eastAsia="Garamond" w:hAnsi="Garamond" w:cs="Garamond"/>
              </w:rPr>
            </w:pPr>
            <w:r w:rsidRPr="00C04C4B">
              <w:rPr>
                <w:rFonts w:ascii="Garamond" w:eastAsia="Garamond" w:hAnsi="Garamond" w:cs="Garamond"/>
              </w:rPr>
              <w:t>Firma</w:t>
            </w:r>
          </w:p>
        </w:tc>
      </w:tr>
      <w:tr w:rsidR="009F7E39" w:rsidRPr="00C04C4B" w14:paraId="564B666C" w14:textId="77777777">
        <w:trPr>
          <w:trHeight w:val="717"/>
        </w:trPr>
        <w:tc>
          <w:tcPr>
            <w:tcW w:w="3387" w:type="dxa"/>
          </w:tcPr>
          <w:p w14:paraId="5A65DC73" w14:textId="6D8B060E" w:rsidR="009F7E39" w:rsidRPr="00C04C4B" w:rsidRDefault="009F7E39">
            <w:pPr>
              <w:jc w:val="both"/>
              <w:rPr>
                <w:rFonts w:ascii="Garamond" w:eastAsia="Garamond" w:hAnsi="Garamond" w:cs="Garamond"/>
              </w:rPr>
            </w:pPr>
            <w:r>
              <w:rPr>
                <w:rFonts w:ascii="Garamond" w:eastAsia="Garamond" w:hAnsi="Garamond" w:cs="Garamond"/>
              </w:rPr>
              <w:t>Estructuración de procesos administrativos</w:t>
            </w:r>
          </w:p>
        </w:tc>
        <w:tc>
          <w:tcPr>
            <w:tcW w:w="4263" w:type="dxa"/>
          </w:tcPr>
          <w:p w14:paraId="10C711BB" w14:textId="4367C59F" w:rsidR="009F7E39" w:rsidRDefault="009F7E39">
            <w:pPr>
              <w:jc w:val="both"/>
              <w:rPr>
                <w:rFonts w:ascii="Garamond" w:eastAsia="Garamond" w:hAnsi="Garamond" w:cs="Garamond"/>
              </w:rPr>
            </w:pPr>
            <w:r>
              <w:rPr>
                <w:rFonts w:ascii="Garamond" w:eastAsia="Garamond" w:hAnsi="Garamond" w:cs="Garamond"/>
              </w:rPr>
              <w:t>Angie Geraldine Bonilla</w:t>
            </w:r>
          </w:p>
        </w:tc>
        <w:tc>
          <w:tcPr>
            <w:tcW w:w="1744" w:type="dxa"/>
          </w:tcPr>
          <w:p w14:paraId="3FFFE044" w14:textId="1B1B1E59" w:rsidR="009F7E39" w:rsidRPr="00C04C4B" w:rsidRDefault="00414829">
            <w:pPr>
              <w:jc w:val="both"/>
              <w:rPr>
                <w:rFonts w:ascii="Garamond" w:eastAsia="Garamond" w:hAnsi="Garamond" w:cs="Garamond"/>
              </w:rPr>
            </w:pPr>
            <w:r>
              <w:rPr>
                <w:rFonts w:ascii="Garamond" w:eastAsia="Garamond" w:hAnsi="Garamond" w:cs="Garamond"/>
                <w:noProof/>
              </w:rPr>
              <w:drawing>
                <wp:inline distT="0" distB="0" distL="0" distR="0" wp14:anchorId="7A67EC35" wp14:editId="4872B1B5">
                  <wp:extent cx="1101090" cy="539750"/>
                  <wp:effectExtent l="0" t="0" r="381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101090" cy="539750"/>
                          </a:xfrm>
                          <a:prstGeom prst="rect">
                            <a:avLst/>
                          </a:prstGeom>
                        </pic:spPr>
                      </pic:pic>
                    </a:graphicData>
                  </a:graphic>
                </wp:inline>
              </w:drawing>
            </w:r>
          </w:p>
        </w:tc>
      </w:tr>
      <w:tr w:rsidR="0022086B" w:rsidRPr="00C04C4B" w14:paraId="44FEFD9C" w14:textId="77777777">
        <w:trPr>
          <w:trHeight w:val="717"/>
        </w:trPr>
        <w:tc>
          <w:tcPr>
            <w:tcW w:w="3387" w:type="dxa"/>
          </w:tcPr>
          <w:p w14:paraId="5AB52CD7" w14:textId="77777777" w:rsidR="0022086B" w:rsidRPr="00C04C4B" w:rsidRDefault="0065443B">
            <w:pPr>
              <w:jc w:val="both"/>
              <w:rPr>
                <w:rFonts w:ascii="Garamond" w:eastAsia="Garamond" w:hAnsi="Garamond" w:cs="Garamond"/>
              </w:rPr>
            </w:pPr>
            <w:r w:rsidRPr="00C04C4B">
              <w:rPr>
                <w:rFonts w:ascii="Garamond" w:eastAsia="Garamond" w:hAnsi="Garamond" w:cs="Garamond"/>
              </w:rPr>
              <w:t>Estructuración de procesos técnicos</w:t>
            </w:r>
          </w:p>
        </w:tc>
        <w:tc>
          <w:tcPr>
            <w:tcW w:w="4263" w:type="dxa"/>
          </w:tcPr>
          <w:p w14:paraId="73861E93" w14:textId="6D85CA38" w:rsidR="0022086B" w:rsidRPr="00C04C4B" w:rsidRDefault="004E6223">
            <w:pPr>
              <w:jc w:val="both"/>
              <w:rPr>
                <w:rFonts w:ascii="Garamond" w:eastAsia="Garamond" w:hAnsi="Garamond" w:cs="Garamond"/>
              </w:rPr>
            </w:pPr>
            <w:r>
              <w:rPr>
                <w:rFonts w:ascii="Garamond" w:eastAsia="Garamond" w:hAnsi="Garamond" w:cs="Garamond"/>
              </w:rPr>
              <w:t>Sandra Fajardo</w:t>
            </w:r>
          </w:p>
        </w:tc>
        <w:tc>
          <w:tcPr>
            <w:tcW w:w="1744" w:type="dxa"/>
          </w:tcPr>
          <w:p w14:paraId="7B4FF1DF" w14:textId="43334623" w:rsidR="0022086B" w:rsidRPr="00C04C4B" w:rsidRDefault="009C2815">
            <w:pPr>
              <w:jc w:val="both"/>
              <w:rPr>
                <w:rFonts w:ascii="Garamond" w:eastAsia="Garamond" w:hAnsi="Garamond" w:cs="Garamond"/>
              </w:rPr>
            </w:pPr>
            <w:r>
              <w:rPr>
                <w:rFonts w:ascii="Garamond" w:eastAsia="Garamond" w:hAnsi="Garamond" w:cs="Garamond"/>
                <w:noProof/>
              </w:rPr>
              <w:drawing>
                <wp:inline distT="0" distB="0" distL="0" distR="0" wp14:anchorId="2116825C" wp14:editId="296F0DE9">
                  <wp:extent cx="1101090" cy="335280"/>
                  <wp:effectExtent l="0" t="0" r="3810" b="762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101090" cy="335280"/>
                          </a:xfrm>
                          <a:prstGeom prst="rect">
                            <a:avLst/>
                          </a:prstGeom>
                        </pic:spPr>
                      </pic:pic>
                    </a:graphicData>
                  </a:graphic>
                </wp:inline>
              </w:drawing>
            </w:r>
          </w:p>
        </w:tc>
      </w:tr>
      <w:tr w:rsidR="0022086B" w:rsidRPr="00C04C4B" w14:paraId="3543F75F" w14:textId="77777777">
        <w:trPr>
          <w:trHeight w:val="802"/>
        </w:trPr>
        <w:tc>
          <w:tcPr>
            <w:tcW w:w="3387" w:type="dxa"/>
          </w:tcPr>
          <w:p w14:paraId="05541E6B" w14:textId="77777777" w:rsidR="0022086B" w:rsidRPr="00C04C4B" w:rsidRDefault="0065443B">
            <w:pPr>
              <w:jc w:val="both"/>
              <w:rPr>
                <w:rFonts w:ascii="Garamond" w:eastAsia="Garamond" w:hAnsi="Garamond" w:cs="Garamond"/>
              </w:rPr>
            </w:pPr>
            <w:r w:rsidRPr="00C04C4B">
              <w:rPr>
                <w:rFonts w:ascii="Garamond" w:eastAsia="Garamond" w:hAnsi="Garamond" w:cs="Garamond"/>
              </w:rPr>
              <w:t>Revisó aspectos técnicos</w:t>
            </w:r>
          </w:p>
        </w:tc>
        <w:tc>
          <w:tcPr>
            <w:tcW w:w="4263" w:type="dxa"/>
          </w:tcPr>
          <w:p w14:paraId="071FB30F" w14:textId="77777777" w:rsidR="0022086B" w:rsidRPr="00C04C4B" w:rsidRDefault="0065443B">
            <w:pPr>
              <w:jc w:val="both"/>
              <w:rPr>
                <w:rFonts w:ascii="Garamond" w:eastAsia="Garamond" w:hAnsi="Garamond" w:cs="Garamond"/>
              </w:rPr>
            </w:pPr>
            <w:r w:rsidRPr="00C04C4B">
              <w:rPr>
                <w:rFonts w:ascii="Garamond" w:eastAsia="Garamond" w:hAnsi="Garamond" w:cs="Garamond"/>
              </w:rPr>
              <w:t>Diego Caballero Rojas</w:t>
            </w:r>
          </w:p>
        </w:tc>
        <w:tc>
          <w:tcPr>
            <w:tcW w:w="1744" w:type="dxa"/>
          </w:tcPr>
          <w:p w14:paraId="6625052A" w14:textId="00EE7FCE" w:rsidR="0022086B" w:rsidRPr="00C04C4B" w:rsidRDefault="00394B80">
            <w:pPr>
              <w:jc w:val="both"/>
              <w:rPr>
                <w:rFonts w:ascii="Garamond" w:eastAsia="Garamond" w:hAnsi="Garamond" w:cs="Garamond"/>
              </w:rPr>
            </w:pPr>
            <w:r w:rsidRPr="00C04C4B">
              <w:rPr>
                <w:rFonts w:ascii="Garamond" w:eastAsia="Garamond" w:hAnsi="Garamond" w:cs="Garamond"/>
                <w:noProof/>
              </w:rPr>
              <w:drawing>
                <wp:inline distT="0" distB="0" distL="0" distR="0" wp14:anchorId="58A9B1A4" wp14:editId="2A2EA055">
                  <wp:extent cx="777240" cy="349175"/>
                  <wp:effectExtent l="0" t="0" r="381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pic:cNvPicPr/>
                        </pic:nvPicPr>
                        <pic:blipFill>
                          <a:blip r:embed="rId26">
                            <a:extLst>
                              <a:ext uri="{28A0092B-C50C-407E-A947-70E740481C1C}">
                                <a14:useLocalDpi xmlns:a14="http://schemas.microsoft.com/office/drawing/2010/main" val="0"/>
                              </a:ext>
                            </a:extLst>
                          </a:blip>
                          <a:stretch>
                            <a:fillRect/>
                          </a:stretch>
                        </pic:blipFill>
                        <pic:spPr>
                          <a:xfrm>
                            <a:off x="0" y="0"/>
                            <a:ext cx="781815" cy="351230"/>
                          </a:xfrm>
                          <a:prstGeom prst="rect">
                            <a:avLst/>
                          </a:prstGeom>
                        </pic:spPr>
                      </pic:pic>
                    </a:graphicData>
                  </a:graphic>
                </wp:inline>
              </w:drawing>
            </w:r>
          </w:p>
        </w:tc>
      </w:tr>
      <w:tr w:rsidR="0022086B" w:rsidRPr="00C04C4B" w14:paraId="0D229562" w14:textId="77777777">
        <w:trPr>
          <w:trHeight w:val="654"/>
        </w:trPr>
        <w:tc>
          <w:tcPr>
            <w:tcW w:w="3387" w:type="dxa"/>
          </w:tcPr>
          <w:p w14:paraId="0B75CC8F" w14:textId="77777777" w:rsidR="0022086B" w:rsidRPr="00C04C4B" w:rsidRDefault="0065443B">
            <w:pPr>
              <w:jc w:val="both"/>
              <w:rPr>
                <w:rFonts w:ascii="Garamond" w:eastAsia="Garamond" w:hAnsi="Garamond" w:cs="Garamond"/>
              </w:rPr>
            </w:pPr>
            <w:r w:rsidRPr="00C04C4B">
              <w:rPr>
                <w:rFonts w:ascii="Garamond" w:eastAsia="Garamond" w:hAnsi="Garamond" w:cs="Garamond"/>
              </w:rPr>
              <w:t>Elaboro Aspectos Jurídicos</w:t>
            </w:r>
          </w:p>
        </w:tc>
        <w:tc>
          <w:tcPr>
            <w:tcW w:w="4263" w:type="dxa"/>
          </w:tcPr>
          <w:p w14:paraId="413543A5" w14:textId="25BEB14F" w:rsidR="0022086B" w:rsidRPr="00C04C4B" w:rsidRDefault="004E6223">
            <w:pPr>
              <w:jc w:val="both"/>
              <w:rPr>
                <w:rFonts w:ascii="Garamond" w:eastAsia="Garamond" w:hAnsi="Garamond" w:cs="Garamond"/>
              </w:rPr>
            </w:pPr>
            <w:proofErr w:type="spellStart"/>
            <w:r>
              <w:rPr>
                <w:rFonts w:ascii="Garamond" w:eastAsia="Garamond" w:hAnsi="Garamond" w:cs="Garamond"/>
              </w:rPr>
              <w:t>Ivan</w:t>
            </w:r>
            <w:proofErr w:type="spellEnd"/>
            <w:r>
              <w:rPr>
                <w:rFonts w:ascii="Garamond" w:eastAsia="Garamond" w:hAnsi="Garamond" w:cs="Garamond"/>
              </w:rPr>
              <w:t xml:space="preserve"> </w:t>
            </w:r>
            <w:proofErr w:type="spellStart"/>
            <w:r>
              <w:rPr>
                <w:rFonts w:ascii="Garamond" w:eastAsia="Garamond" w:hAnsi="Garamond" w:cs="Garamond"/>
              </w:rPr>
              <w:t>Pachon</w:t>
            </w:r>
            <w:proofErr w:type="spellEnd"/>
          </w:p>
        </w:tc>
        <w:tc>
          <w:tcPr>
            <w:tcW w:w="1744" w:type="dxa"/>
          </w:tcPr>
          <w:p w14:paraId="3370E589" w14:textId="77777777" w:rsidR="0022086B" w:rsidRPr="00C04C4B" w:rsidRDefault="0022086B">
            <w:pPr>
              <w:jc w:val="both"/>
              <w:rPr>
                <w:rFonts w:ascii="Garamond" w:eastAsia="Garamond" w:hAnsi="Garamond" w:cs="Garamond"/>
              </w:rPr>
            </w:pPr>
          </w:p>
        </w:tc>
      </w:tr>
    </w:tbl>
    <w:p w14:paraId="02C99790" w14:textId="77777777" w:rsidR="0022086B" w:rsidRPr="00C04C4B" w:rsidRDefault="0022086B">
      <w:pPr>
        <w:jc w:val="both"/>
        <w:rPr>
          <w:rFonts w:ascii="Garamond" w:eastAsia="Garamond" w:hAnsi="Garamond" w:cs="Garamond"/>
        </w:rPr>
      </w:pPr>
    </w:p>
    <w:sectPr w:rsidR="0022086B" w:rsidRPr="00C04C4B" w:rsidSect="0046210E">
      <w:headerReference w:type="default" r:id="rId27"/>
      <w:footerReference w:type="default" r:id="rId28"/>
      <w:pgSz w:w="12240" w:h="15840"/>
      <w:pgMar w:top="1985" w:right="1418" w:bottom="1418" w:left="1418" w:header="1258" w:footer="158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D9C0C" w14:textId="77777777" w:rsidR="00A23238" w:rsidRDefault="00A23238">
      <w:r>
        <w:separator/>
      </w:r>
    </w:p>
  </w:endnote>
  <w:endnote w:type="continuationSeparator" w:id="0">
    <w:p w14:paraId="0F3818F6" w14:textId="77777777" w:rsidR="00A23238" w:rsidRDefault="00A2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Lohit Hindi">
    <w:altName w:val="Cambria"/>
    <w:panose1 w:val="00000000000000000000"/>
    <w:charset w:val="00"/>
    <w:family w:val="roman"/>
    <w:notTrueType/>
    <w:pitch w:val="default"/>
  </w:font>
  <w:font w:name="Liberation Sans">
    <w:charset w:val="00"/>
    <w:family w:val="swiss"/>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Times New Roman">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linkMacSystemFon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AD8FF" w14:textId="77777777" w:rsidR="0046210E" w:rsidRDefault="0046210E" w:rsidP="0046210E">
    <w:pPr>
      <w:jc w:val="right"/>
      <w:rPr>
        <w:rStyle w:val="Nmerodepgina"/>
        <w:rFonts w:ascii="Garamond" w:hAnsi="Garamond" w:cs="Arial"/>
        <w:sz w:val="16"/>
        <w:szCs w:val="16"/>
      </w:rPr>
    </w:pPr>
    <w:r w:rsidRPr="00B85875">
      <w:rPr>
        <w:color w:val="000000"/>
      </w:rPr>
      <w:tab/>
      <w:t xml:space="preserve">                                                 </w:t>
    </w:r>
    <w:r>
      <w:rPr>
        <w:color w:val="000000"/>
      </w:rPr>
      <w:tab/>
    </w:r>
    <w:r>
      <w:rPr>
        <w:color w:val="000000"/>
      </w:rPr>
      <w:tab/>
    </w:r>
    <w:r>
      <w:rPr>
        <w:color w:val="000000"/>
      </w:rPr>
      <w:tab/>
    </w:r>
    <w:r>
      <w:rPr>
        <w:color w:val="000000"/>
      </w:rPr>
      <w:tab/>
    </w:r>
    <w:r>
      <w:rPr>
        <w:rStyle w:val="Nmerodepgina"/>
        <w:rFonts w:ascii="Garamond" w:hAnsi="Garamond" w:cs="Arial"/>
        <w:sz w:val="16"/>
        <w:szCs w:val="16"/>
      </w:rPr>
      <w:t xml:space="preserve">Página </w:t>
    </w:r>
    <w:r>
      <w:rPr>
        <w:rStyle w:val="Nmerodepgina"/>
        <w:rFonts w:ascii="Garamond" w:hAnsi="Garamond" w:cs="Arial"/>
        <w:sz w:val="16"/>
        <w:szCs w:val="16"/>
      </w:rPr>
      <w:fldChar w:fldCharType="begin"/>
    </w:r>
    <w:r>
      <w:rPr>
        <w:rStyle w:val="Nmerodepgina"/>
        <w:rFonts w:ascii="Garamond" w:hAnsi="Garamond" w:cs="Arial"/>
        <w:sz w:val="16"/>
        <w:szCs w:val="16"/>
      </w:rPr>
      <w:instrText xml:space="preserve"> PAGE </w:instrText>
    </w:r>
    <w:r>
      <w:rPr>
        <w:rStyle w:val="Nmerodepgina"/>
        <w:rFonts w:ascii="Garamond" w:hAnsi="Garamond" w:cs="Arial"/>
        <w:sz w:val="16"/>
        <w:szCs w:val="16"/>
      </w:rPr>
      <w:fldChar w:fldCharType="separate"/>
    </w:r>
    <w:r>
      <w:rPr>
        <w:rStyle w:val="Nmerodepgina"/>
        <w:rFonts w:ascii="Garamond" w:hAnsi="Garamond" w:cs="Arial"/>
        <w:sz w:val="16"/>
        <w:szCs w:val="16"/>
      </w:rPr>
      <w:t>1</w:t>
    </w:r>
    <w:r>
      <w:rPr>
        <w:rStyle w:val="Nmerodepgina"/>
        <w:rFonts w:ascii="Garamond" w:hAnsi="Garamond" w:cs="Arial"/>
        <w:sz w:val="16"/>
        <w:szCs w:val="16"/>
      </w:rPr>
      <w:fldChar w:fldCharType="end"/>
    </w:r>
    <w:r>
      <w:rPr>
        <w:rStyle w:val="Nmerodepgina"/>
        <w:rFonts w:ascii="Garamond" w:hAnsi="Garamond" w:cs="Arial"/>
        <w:sz w:val="16"/>
        <w:szCs w:val="16"/>
      </w:rPr>
      <w:t xml:space="preserve"> de </w:t>
    </w:r>
    <w:r>
      <w:rPr>
        <w:rStyle w:val="Nmerodepgina"/>
        <w:rFonts w:ascii="Garamond" w:hAnsi="Garamond" w:cs="Arial"/>
        <w:sz w:val="16"/>
        <w:szCs w:val="16"/>
      </w:rPr>
      <w:fldChar w:fldCharType="begin"/>
    </w:r>
    <w:r>
      <w:rPr>
        <w:rStyle w:val="Nmerodepgina"/>
        <w:rFonts w:ascii="Garamond" w:hAnsi="Garamond" w:cs="Arial"/>
        <w:sz w:val="16"/>
        <w:szCs w:val="16"/>
      </w:rPr>
      <w:instrText xml:space="preserve"> NUMPAGES \* ARABIC </w:instrText>
    </w:r>
    <w:r>
      <w:rPr>
        <w:rStyle w:val="Nmerodepgina"/>
        <w:rFonts w:ascii="Garamond" w:hAnsi="Garamond" w:cs="Arial"/>
        <w:sz w:val="16"/>
        <w:szCs w:val="16"/>
      </w:rPr>
      <w:fldChar w:fldCharType="separate"/>
    </w:r>
    <w:r>
      <w:rPr>
        <w:rStyle w:val="Nmerodepgina"/>
        <w:rFonts w:ascii="Garamond" w:hAnsi="Garamond" w:cs="Arial"/>
        <w:sz w:val="16"/>
        <w:szCs w:val="16"/>
      </w:rPr>
      <w:t>17</w:t>
    </w:r>
    <w:r>
      <w:rPr>
        <w:rStyle w:val="Nmerodepgina"/>
        <w:rFonts w:ascii="Garamond" w:hAnsi="Garamond" w:cs="Arial"/>
        <w:sz w:val="16"/>
        <w:szCs w:val="16"/>
      </w:rPr>
      <w:fldChar w:fldCharType="end"/>
    </w:r>
  </w:p>
  <w:p w14:paraId="5F43A087" w14:textId="77777777" w:rsidR="0046210E" w:rsidRDefault="0046210E" w:rsidP="0046210E">
    <w:pPr>
      <w:rPr>
        <w:rStyle w:val="Nmerodepgina"/>
        <w:rFonts w:ascii="Garamond" w:hAnsi="Garamond" w:cs="Arial"/>
        <w:sz w:val="16"/>
        <w:szCs w:val="16"/>
      </w:rPr>
    </w:pPr>
  </w:p>
  <w:p w14:paraId="40724F7B" w14:textId="77777777" w:rsidR="0046210E" w:rsidRDefault="0046210E" w:rsidP="0046210E">
    <w:pPr>
      <w:jc w:val="center"/>
    </w:pPr>
    <w:r>
      <w:rPr>
        <w:noProof/>
      </w:rPr>
      <mc:AlternateContent>
        <mc:Choice Requires="wps">
          <w:drawing>
            <wp:anchor distT="0" distB="0" distL="114300" distR="114300" simplePos="0" relativeHeight="251666432" behindDoc="0" locked="0" layoutInCell="1" allowOverlap="1" wp14:anchorId="7C6005DC" wp14:editId="0ACDC382">
              <wp:simplePos x="0" y="0"/>
              <wp:positionH relativeFrom="column">
                <wp:posOffset>2442845</wp:posOffset>
              </wp:positionH>
              <wp:positionV relativeFrom="paragraph">
                <wp:posOffset>86995</wp:posOffset>
              </wp:positionV>
              <wp:extent cx="1676400" cy="654050"/>
              <wp:effectExtent l="0" t="0" r="0" b="0"/>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6400" cy="654050"/>
                      </a:xfrm>
                      <a:prstGeom prst="rect">
                        <a:avLst/>
                      </a:prstGeom>
                      <a:solidFill>
                        <a:srgbClr val="FFFFFF"/>
                      </a:solidFill>
                      <a:ln>
                        <a:noFill/>
                      </a:ln>
                    </wps:spPr>
                    <wps:txbx>
                      <w:txbxContent>
                        <w:p w14:paraId="472E94FA" w14:textId="77777777" w:rsidR="0046210E" w:rsidRPr="003752E1" w:rsidRDefault="0046210E" w:rsidP="0046210E">
                          <w:pPr>
                            <w:jc w:val="center"/>
                            <w:rPr>
                              <w:rFonts w:ascii="Garamond" w:hAnsi="Garamond" w:cs="Arial"/>
                              <w:sz w:val="16"/>
                              <w:szCs w:val="16"/>
                            </w:rPr>
                          </w:pPr>
                          <w:r w:rsidRPr="003752E1">
                            <w:rPr>
                              <w:rFonts w:ascii="Garamond" w:hAnsi="Garamond" w:cs="Arial"/>
                              <w:sz w:val="14"/>
                              <w:szCs w:val="16"/>
                              <w:lang w:val="es-MX"/>
                            </w:rPr>
                            <w:t xml:space="preserve">Código: </w:t>
                          </w:r>
                          <w:r w:rsidRPr="003752E1">
                            <w:rPr>
                              <w:rFonts w:ascii="Garamond" w:hAnsi="Garamond" w:cs="Arial"/>
                              <w:sz w:val="16"/>
                              <w:szCs w:val="16"/>
                            </w:rPr>
                            <w:t>GCO-GCI-F015</w:t>
                          </w:r>
                        </w:p>
                        <w:p w14:paraId="6116284A" w14:textId="77777777" w:rsidR="0046210E" w:rsidRPr="00D938B3" w:rsidRDefault="0046210E" w:rsidP="0046210E">
                          <w:pPr>
                            <w:jc w:val="center"/>
                            <w:rPr>
                              <w:rFonts w:ascii="Garamond" w:hAnsi="Garamond" w:cs="Arial"/>
                              <w:sz w:val="16"/>
                              <w:szCs w:val="16"/>
                            </w:rPr>
                          </w:pPr>
                          <w:r w:rsidRPr="003752E1">
                            <w:rPr>
                              <w:rFonts w:ascii="Garamond" w:hAnsi="Garamond" w:cs="Arial"/>
                              <w:sz w:val="14"/>
                              <w:szCs w:val="16"/>
                              <w:lang w:val="es-MX"/>
                            </w:rPr>
                            <w:t xml:space="preserve">Versión: </w:t>
                          </w:r>
                          <w:r w:rsidRPr="003752E1">
                            <w:rPr>
                              <w:rFonts w:ascii="Garamond" w:hAnsi="Garamond" w:cs="Arial"/>
                              <w:sz w:val="16"/>
                              <w:szCs w:val="16"/>
                            </w:rPr>
                            <w:t>0</w:t>
                          </w:r>
                          <w:r w:rsidRPr="00D938B3">
                            <w:rPr>
                              <w:rFonts w:ascii="Garamond" w:hAnsi="Garamond" w:cs="Arial"/>
                              <w:sz w:val="16"/>
                              <w:szCs w:val="16"/>
                            </w:rPr>
                            <w:t>6</w:t>
                          </w:r>
                        </w:p>
                        <w:p w14:paraId="2A14872F" w14:textId="77777777" w:rsidR="0046210E" w:rsidRPr="00D938B3" w:rsidRDefault="0046210E" w:rsidP="0046210E">
                          <w:pPr>
                            <w:jc w:val="center"/>
                            <w:rPr>
                              <w:rFonts w:ascii="Garamond" w:hAnsi="Garamond" w:cs="Arial"/>
                              <w:sz w:val="16"/>
                              <w:szCs w:val="16"/>
                            </w:rPr>
                          </w:pPr>
                          <w:r w:rsidRPr="00D938B3">
                            <w:rPr>
                              <w:rFonts w:ascii="Garamond" w:hAnsi="Garamond" w:cs="Arial"/>
                              <w:sz w:val="16"/>
                              <w:szCs w:val="16"/>
                            </w:rPr>
                            <w:t>Vigencia: 14 de septiembre de 2023</w:t>
                          </w:r>
                        </w:p>
                        <w:p w14:paraId="7092E9EB" w14:textId="77777777" w:rsidR="0046210E" w:rsidRPr="003752E1" w:rsidRDefault="0046210E" w:rsidP="0046210E">
                          <w:pPr>
                            <w:jc w:val="center"/>
                            <w:rPr>
                              <w:rFonts w:ascii="Garamond" w:hAnsi="Garamond" w:cs="Arial"/>
                              <w:sz w:val="16"/>
                              <w:szCs w:val="16"/>
                            </w:rPr>
                          </w:pPr>
                          <w:r w:rsidRPr="00D938B3">
                            <w:rPr>
                              <w:rFonts w:ascii="Garamond" w:hAnsi="Garamond" w:cs="Arial"/>
                              <w:sz w:val="16"/>
                              <w:szCs w:val="16"/>
                            </w:rPr>
                            <w:t>Caso Hola No. 343604</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6005DC" id="Rectángulo 7" o:spid="_x0000_s1043" style="position:absolute;left:0;text-align:left;margin-left:192.35pt;margin-top:6.85pt;width:132pt;height:5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" stroked="f">
              <v:textbox inset="2.5575mm,1.2875mm,2.5575mm,1.2875mm">
                <w:txbxContent>
                  <w:p w14:paraId="472E94FA" w14:textId="77777777" w:rsidR="0046210E" w:rsidRPr="003752E1" w:rsidRDefault="0046210E" w:rsidP="0046210E">
                    <w:pPr>
                      <w:jc w:val="center"/>
                      <w:rPr>
                        <w:rFonts w:ascii="Garamond" w:hAnsi="Garamond" w:cs="Arial"/>
                        <w:sz w:val="16"/>
                        <w:szCs w:val="16"/>
                      </w:rPr>
                    </w:pPr>
                    <w:r w:rsidRPr="003752E1">
                      <w:rPr>
                        <w:rFonts w:ascii="Garamond" w:hAnsi="Garamond" w:cs="Arial"/>
                        <w:sz w:val="14"/>
                        <w:szCs w:val="16"/>
                        <w:lang w:val="es-MX"/>
                      </w:rPr>
                      <w:t xml:space="preserve">Código: </w:t>
                    </w:r>
                    <w:r w:rsidRPr="003752E1">
                      <w:rPr>
                        <w:rFonts w:ascii="Garamond" w:hAnsi="Garamond" w:cs="Arial"/>
                        <w:sz w:val="16"/>
                        <w:szCs w:val="16"/>
                      </w:rPr>
                      <w:t>GCO-GCI-F015</w:t>
                    </w:r>
                  </w:p>
                  <w:p w14:paraId="6116284A" w14:textId="77777777" w:rsidR="0046210E" w:rsidRPr="00D938B3" w:rsidRDefault="0046210E" w:rsidP="0046210E">
                    <w:pPr>
                      <w:jc w:val="center"/>
                      <w:rPr>
                        <w:rFonts w:ascii="Garamond" w:hAnsi="Garamond" w:cs="Arial"/>
                        <w:sz w:val="16"/>
                        <w:szCs w:val="16"/>
                      </w:rPr>
                    </w:pPr>
                    <w:r w:rsidRPr="003752E1">
                      <w:rPr>
                        <w:rFonts w:ascii="Garamond" w:hAnsi="Garamond" w:cs="Arial"/>
                        <w:sz w:val="14"/>
                        <w:szCs w:val="16"/>
                        <w:lang w:val="es-MX"/>
                      </w:rPr>
                      <w:t xml:space="preserve">Versión: </w:t>
                    </w:r>
                    <w:r w:rsidRPr="003752E1">
                      <w:rPr>
                        <w:rFonts w:ascii="Garamond" w:hAnsi="Garamond" w:cs="Arial"/>
                        <w:sz w:val="16"/>
                        <w:szCs w:val="16"/>
                      </w:rPr>
                      <w:t>0</w:t>
                    </w:r>
                    <w:r w:rsidRPr="00D938B3">
                      <w:rPr>
                        <w:rFonts w:ascii="Garamond" w:hAnsi="Garamond" w:cs="Arial"/>
                        <w:sz w:val="16"/>
                        <w:szCs w:val="16"/>
                      </w:rPr>
                      <w:t>6</w:t>
                    </w:r>
                  </w:p>
                  <w:p w14:paraId="2A14872F" w14:textId="77777777" w:rsidR="0046210E" w:rsidRPr="00D938B3" w:rsidRDefault="0046210E" w:rsidP="0046210E">
                    <w:pPr>
                      <w:jc w:val="center"/>
                      <w:rPr>
                        <w:rFonts w:ascii="Garamond" w:hAnsi="Garamond" w:cs="Arial"/>
                        <w:sz w:val="16"/>
                        <w:szCs w:val="16"/>
                      </w:rPr>
                    </w:pPr>
                    <w:r w:rsidRPr="00D938B3">
                      <w:rPr>
                        <w:rFonts w:ascii="Garamond" w:hAnsi="Garamond" w:cs="Arial"/>
                        <w:sz w:val="16"/>
                        <w:szCs w:val="16"/>
                      </w:rPr>
                      <w:t>Vigencia: 14 de septiembre de 2023</w:t>
                    </w:r>
                  </w:p>
                  <w:p w14:paraId="7092E9EB" w14:textId="77777777" w:rsidR="0046210E" w:rsidRPr="003752E1" w:rsidRDefault="0046210E" w:rsidP="0046210E">
                    <w:pPr>
                      <w:jc w:val="center"/>
                      <w:rPr>
                        <w:rFonts w:ascii="Garamond" w:hAnsi="Garamond" w:cs="Arial"/>
                        <w:sz w:val="16"/>
                        <w:szCs w:val="16"/>
                      </w:rPr>
                    </w:pPr>
                    <w:r w:rsidRPr="00D938B3">
                      <w:rPr>
                        <w:rFonts w:ascii="Garamond" w:hAnsi="Garamond" w:cs="Arial"/>
                        <w:sz w:val="16"/>
                        <w:szCs w:val="16"/>
                      </w:rPr>
                      <w:t>Caso Hola No. 343604</w:t>
                    </w:r>
                  </w:p>
                </w:txbxContent>
              </v:textbox>
            </v:rect>
          </w:pict>
        </mc:Fallback>
      </mc:AlternateContent>
    </w:r>
    <w:r>
      <w:rPr>
        <w:noProof/>
      </w:rPr>
      <mc:AlternateContent>
        <mc:Choice Requires="wps">
          <w:drawing>
            <wp:anchor distT="0" distB="0" distL="114299" distR="114299" simplePos="0" relativeHeight="251668480" behindDoc="0" locked="0" layoutInCell="1" allowOverlap="1" wp14:anchorId="12D20C00" wp14:editId="1F231134">
              <wp:simplePos x="0" y="0"/>
              <wp:positionH relativeFrom="column">
                <wp:posOffset>1520189</wp:posOffset>
              </wp:positionH>
              <wp:positionV relativeFrom="paragraph">
                <wp:posOffset>77470</wp:posOffset>
              </wp:positionV>
              <wp:extent cx="0" cy="762000"/>
              <wp:effectExtent l="0" t="0" r="0" b="0"/>
              <wp:wrapNone/>
              <wp:docPr id="46" name="Conector recto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6200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40C45CC" id="Conector recto 46" o:spid="_x0000_s1026" style="position:absolute;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9.7pt,6.1pt" to="119.7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" strokecolor="windowText" strokeweight=".5pt">
              <v:stroke joinstyle="miter"/>
              <o:lock v:ext="edit" shapetype="f"/>
            </v:line>
          </w:pict>
        </mc:Fallback>
      </mc:AlternateContent>
    </w:r>
    <w:r>
      <w:rPr>
        <w:noProof/>
      </w:rPr>
      <w:drawing>
        <wp:anchor distT="0" distB="0" distL="0" distR="0" simplePos="0" relativeHeight="251667456" behindDoc="0" locked="0" layoutInCell="1" allowOverlap="1" wp14:anchorId="1F57AA05" wp14:editId="01224927">
          <wp:simplePos x="0" y="0"/>
          <wp:positionH relativeFrom="margin">
            <wp:posOffset>5364480</wp:posOffset>
          </wp:positionH>
          <wp:positionV relativeFrom="paragraph">
            <wp:posOffset>77470</wp:posOffset>
          </wp:positionV>
          <wp:extent cx="647700" cy="644525"/>
          <wp:effectExtent l="19050" t="0" r="0" b="0"/>
          <wp:wrapNone/>
          <wp:docPr id="4"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
                  <pic:cNvPicPr>
                    <a:picLocks noChangeAspect="1" noChangeArrowheads="1"/>
                  </pic:cNvPicPr>
                </pic:nvPicPr>
                <pic:blipFill>
                  <a:blip r:embed="rId1"/>
                  <a:srcRect/>
                  <a:stretch>
                    <a:fillRect/>
                  </a:stretch>
                </pic:blipFill>
                <pic:spPr bwMode="auto">
                  <a:xfrm>
                    <a:off x="0" y="0"/>
                    <a:ext cx="647700" cy="644525"/>
                  </a:xfrm>
                  <a:prstGeom prst="rect">
                    <a:avLst/>
                  </a:prstGeom>
                  <a:noFill/>
                  <a:ln w="9525">
                    <a:noFill/>
                    <a:miter lim="800000"/>
                    <a:headEnd/>
                    <a:tailEnd/>
                  </a:ln>
                </pic:spPr>
              </pic:pic>
            </a:graphicData>
          </a:graphic>
        </wp:anchor>
      </w:drawing>
    </w:r>
    <w:r>
      <w:rPr>
        <w:noProof/>
      </w:rPr>
      <mc:AlternateContent>
        <mc:Choice Requires="wps">
          <w:drawing>
            <wp:anchor distT="0" distB="0" distL="114300" distR="114300" simplePos="0" relativeHeight="251665408" behindDoc="0" locked="0" layoutInCell="1" allowOverlap="1" wp14:anchorId="1B5D0DA6" wp14:editId="5BE160C9">
              <wp:simplePos x="0" y="0"/>
              <wp:positionH relativeFrom="column">
                <wp:posOffset>0</wp:posOffset>
              </wp:positionH>
              <wp:positionV relativeFrom="paragraph">
                <wp:posOffset>77470</wp:posOffset>
              </wp:positionV>
              <wp:extent cx="1828800" cy="762000"/>
              <wp:effectExtent l="0" t="0" r="0" b="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762000"/>
                      </a:xfrm>
                      <a:prstGeom prst="rect">
                        <a:avLst/>
                      </a:prstGeom>
                      <a:solidFill>
                        <a:srgbClr val="FFFFFF"/>
                      </a:solidFill>
                      <a:ln>
                        <a:noFill/>
                      </a:ln>
                    </wps:spPr>
                    <wps:txbx>
                      <w:txbxContent>
                        <w:p w14:paraId="4FE7967F" w14:textId="77777777" w:rsidR="0046210E" w:rsidRPr="005357B2" w:rsidRDefault="0046210E" w:rsidP="0046210E">
                          <w:pPr>
                            <w:rPr>
                              <w:rFonts w:ascii="Garamond" w:hAnsi="Garamond"/>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5D0DA6" id="Rectángulo 6" o:spid="_x0000_s1044" style="position:absolute;left:0;text-align:left;margin-left:0;margin-top:6.1pt;width:2in;height:6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" stroked="f">
              <v:textbox inset="7.25pt,3.65pt,7.25pt,3.65pt">
                <w:txbxContent>
                  <w:p w14:paraId="4FE7967F" w14:textId="77777777" w:rsidR="0046210E" w:rsidRPr="005357B2" w:rsidRDefault="0046210E" w:rsidP="0046210E">
                    <w:pPr>
                      <w:rPr>
                        <w:rFonts w:ascii="Garamond" w:hAnsi="Garamond"/>
                        <w:sz w:val="16"/>
                        <w:szCs w:val="16"/>
                        <w:lang w:val="es-MX"/>
                      </w:rPr>
                    </w:pPr>
                  </w:p>
                </w:txbxContent>
              </v:textbox>
            </v:rect>
          </w:pict>
        </mc:Fallback>
      </mc:AlternateContent>
    </w:r>
  </w:p>
  <w:p w14:paraId="7F37CBEB" w14:textId="55D339E2" w:rsidR="0022086B" w:rsidRDefault="0065443B">
    <w:pPr>
      <w:pBdr>
        <w:top w:val="nil"/>
        <w:left w:val="nil"/>
        <w:bottom w:val="nil"/>
        <w:right w:val="nil"/>
        <w:between w:val="nil"/>
      </w:pBdr>
      <w:spacing w:line="14" w:lineRule="auto"/>
      <w:rPr>
        <w:color w:val="000000"/>
        <w:sz w:val="20"/>
        <w:szCs w:val="20"/>
      </w:rPr>
    </w:pPr>
    <w:r>
      <w:rPr>
        <w:noProof/>
      </w:rPr>
      <mc:AlternateContent>
        <mc:Choice Requires="wps">
          <w:drawing>
            <wp:anchor distT="0" distB="0" distL="0" distR="0" simplePos="0" relativeHeight="251659264" behindDoc="1" locked="0" layoutInCell="1" hidden="0" allowOverlap="1" wp14:anchorId="66D02D96" wp14:editId="5B71CCCD">
              <wp:simplePos x="0" y="0"/>
              <wp:positionH relativeFrom="column">
                <wp:posOffset>1506855</wp:posOffset>
              </wp:positionH>
              <wp:positionV relativeFrom="paragraph">
                <wp:posOffset>8839225</wp:posOffset>
              </wp:positionV>
              <wp:extent cx="1270" cy="762000"/>
              <wp:effectExtent l="0" t="0" r="0" b="0"/>
              <wp:wrapNone/>
              <wp:docPr id="132" name="Forma libre: forma 132"/>
              <wp:cNvGraphicFramePr/>
              <a:graphic xmlns:a="http://schemas.openxmlformats.org/drawingml/2006/main">
                <a:graphicData uri="http://schemas.microsoft.com/office/word/2010/wordprocessingShape">
                  <wps:wsp>
                    <wps:cNvSpPr/>
                    <wps:spPr>
                      <a:xfrm>
                        <a:off x="5345365" y="3399000"/>
                        <a:ext cx="1270" cy="762000"/>
                      </a:xfrm>
                      <a:custGeom>
                        <a:avLst/>
                        <a:gdLst/>
                        <a:ahLst/>
                        <a:cxnLst/>
                        <a:rect l="l" t="t" r="r" b="b"/>
                        <a:pathLst>
                          <a:path w="120000" h="762000" extrusionOk="0">
                            <a:moveTo>
                              <a:pt x="0" y="0"/>
                            </a:moveTo>
                            <a:lnTo>
                              <a:pt x="0" y="76200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1506855</wp:posOffset>
              </wp:positionH>
              <wp:positionV relativeFrom="paragraph">
                <wp:posOffset>8839225</wp:posOffset>
              </wp:positionV>
              <wp:extent cx="1270" cy="762000"/>
              <wp:effectExtent b="0" l="0" r="0" t="0"/>
              <wp:wrapNone/>
              <wp:docPr id="132" name="image14.png"/>
              <a:graphic>
                <a:graphicData uri="http://schemas.openxmlformats.org/drawingml/2006/picture">
                  <pic:pic>
                    <pic:nvPicPr>
                      <pic:cNvPr id="0" name="image14.png"/>
                      <pic:cNvPicPr preferRelativeResize="0"/>
                    </pic:nvPicPr>
                    <pic:blipFill>
                      <a:blip r:embed="rId2"/>
                      <a:srcRect/>
                      <a:stretch>
                        <a:fillRect/>
                      </a:stretch>
                    </pic:blipFill>
                    <pic:spPr>
                      <a:xfrm>
                        <a:off x="0" y="0"/>
                        <a:ext cx="1270" cy="762000"/>
                      </a:xfrm>
                      <a:prstGeom prst="rect"/>
                      <a:ln/>
                    </pic:spPr>
                  </pic:pic>
                </a:graphicData>
              </a:graphic>
            </wp:anchor>
          </w:drawing>
        </mc:Fallback>
      </mc:AlternateContent>
    </w:r>
    <w:r>
      <w:rPr>
        <w:noProof/>
      </w:rPr>
      <mc:AlternateContent>
        <mc:Choice Requires="wps">
          <w:drawing>
            <wp:anchor distT="0" distB="0" distL="0" distR="0" simplePos="0" relativeHeight="251661312" behindDoc="1" locked="0" layoutInCell="1" hidden="0" allowOverlap="1" wp14:anchorId="31129B6C" wp14:editId="236079D5">
              <wp:simplePos x="0" y="0"/>
              <wp:positionH relativeFrom="column">
                <wp:posOffset>5330191</wp:posOffset>
              </wp:positionH>
              <wp:positionV relativeFrom="paragraph">
                <wp:posOffset>8513134</wp:posOffset>
              </wp:positionV>
              <wp:extent cx="667385" cy="158750"/>
              <wp:effectExtent l="0" t="0" r="0" b="0"/>
              <wp:wrapNone/>
              <wp:docPr id="128" name="Rectángulo 128"/>
              <wp:cNvGraphicFramePr/>
              <a:graphic xmlns:a="http://schemas.openxmlformats.org/drawingml/2006/main">
                <a:graphicData uri="http://schemas.microsoft.com/office/word/2010/wordprocessingShape">
                  <wps:wsp>
                    <wps:cNvSpPr/>
                    <wps:spPr>
                      <a:xfrm>
                        <a:off x="5021833" y="3710150"/>
                        <a:ext cx="648335" cy="139700"/>
                      </a:xfrm>
                      <a:prstGeom prst="rect">
                        <a:avLst/>
                      </a:prstGeom>
                      <a:noFill/>
                      <a:ln>
                        <a:noFill/>
                      </a:ln>
                    </wps:spPr>
                    <wps:txbx>
                      <w:txbxContent>
                        <w:p w14:paraId="7BE993DD" w14:textId="77777777" w:rsidR="0022086B" w:rsidRDefault="0065443B">
                          <w:pPr>
                            <w:spacing w:before="8"/>
                            <w:ind w:left="20" w:firstLine="40"/>
                            <w:textDirection w:val="btLr"/>
                          </w:pPr>
                          <w:r>
                            <w:rPr>
                              <w:color w:val="000000"/>
                              <w:sz w:val="16"/>
                            </w:rPr>
                            <w:t xml:space="preserve">Página  PAGE 10 de  </w:t>
                          </w:r>
                          <w:proofErr w:type="spellStart"/>
                          <w:r>
                            <w:rPr>
                              <w:color w:val="000000"/>
                              <w:sz w:val="16"/>
                            </w:rPr>
                            <w:t>NUMPAGES</w:t>
                          </w:r>
                          <w:proofErr w:type="spellEnd"/>
                          <w:r>
                            <w:rPr>
                              <w:color w:val="000000"/>
                              <w:sz w:val="16"/>
                            </w:rPr>
                            <w:t xml:space="preserve"> 95</w:t>
                          </w:r>
                        </w:p>
                      </w:txbxContent>
                    </wps:txbx>
                    <wps:bodyPr spcFirstLastPara="1" wrap="square" lIns="0" tIns="0" rIns="0" bIns="0" anchor="t" anchorCtr="0">
                      <a:noAutofit/>
                    </wps:bodyPr>
                  </wps:wsp>
                </a:graphicData>
              </a:graphic>
            </wp:anchor>
          </w:drawing>
        </mc:Choice>
        <mc:Fallback>
          <w:pict>
            <v:rect w14:anchorId="31129B6C" id="Rectángulo 128" o:spid="_x0000_s1045" style="position:absolute;margin-left:419.7pt;margin-top:670.35pt;width:52.55pt;height:12.5pt;z-index:-25165516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" filled="f" stroked="f">
              <v:textbox inset="0,0,0,0">
                <w:txbxContent>
                  <w:p w14:paraId="7BE993DD" w14:textId="77777777" w:rsidR="0022086B" w:rsidRDefault="0065443B">
                    <w:pPr>
                      <w:spacing w:before="8"/>
                      <w:ind w:left="20" w:firstLine="40"/>
                      <w:textDirection w:val="btLr"/>
                    </w:pPr>
                    <w:r>
                      <w:rPr>
                        <w:color w:val="000000"/>
                        <w:sz w:val="16"/>
                      </w:rPr>
                      <w:t xml:space="preserve">Página  PAGE 10 de  </w:t>
                    </w:r>
                    <w:proofErr w:type="spellStart"/>
                    <w:r>
                      <w:rPr>
                        <w:color w:val="000000"/>
                        <w:sz w:val="16"/>
                      </w:rPr>
                      <w:t>NUMPAGES</w:t>
                    </w:r>
                    <w:proofErr w:type="spellEnd"/>
                    <w:r>
                      <w:rPr>
                        <w:color w:val="000000"/>
                        <w:sz w:val="16"/>
                      </w:rPr>
                      <w:t xml:space="preserve"> 95</w:t>
                    </w:r>
                  </w:p>
                </w:txbxContent>
              </v:textbox>
            </v:rect>
          </w:pict>
        </mc:Fallback>
      </mc:AlternateContent>
    </w:r>
    <w:r>
      <w:rPr>
        <w:noProof/>
      </w:rPr>
      <mc:AlternateContent>
        <mc:Choice Requires="wps">
          <w:drawing>
            <wp:anchor distT="0" distB="0" distL="0" distR="0" simplePos="0" relativeHeight="251662336" behindDoc="1" locked="0" layoutInCell="1" hidden="0" allowOverlap="1" wp14:anchorId="2D6F9D67" wp14:editId="2DF6466B">
              <wp:simplePos x="0" y="0"/>
              <wp:positionH relativeFrom="column">
                <wp:posOffset>70802</wp:posOffset>
              </wp:positionH>
              <wp:positionV relativeFrom="paragraph">
                <wp:posOffset>8863718</wp:posOffset>
              </wp:positionV>
              <wp:extent cx="1162050" cy="730885"/>
              <wp:effectExtent l="0" t="0" r="0" b="0"/>
              <wp:wrapNone/>
              <wp:docPr id="129" name="Rectángulo 129"/>
              <wp:cNvGraphicFramePr/>
              <a:graphic xmlns:a="http://schemas.openxmlformats.org/drawingml/2006/main">
                <a:graphicData uri="http://schemas.microsoft.com/office/word/2010/wordprocessingShape">
                  <wps:wsp>
                    <wps:cNvSpPr/>
                    <wps:spPr>
                      <a:xfrm>
                        <a:off x="4774500" y="3424083"/>
                        <a:ext cx="1143000" cy="711835"/>
                      </a:xfrm>
                      <a:prstGeom prst="rect">
                        <a:avLst/>
                      </a:prstGeom>
                      <a:noFill/>
                      <a:ln>
                        <a:noFill/>
                      </a:ln>
                    </wps:spPr>
                    <wps:txbx>
                      <w:txbxContent>
                        <w:p w14:paraId="3ADE4DFD" w14:textId="77777777" w:rsidR="0022086B" w:rsidRDefault="0065443B">
                          <w:pPr>
                            <w:spacing w:before="11" w:line="234" w:lineRule="auto"/>
                            <w:ind w:left="20" w:right="407" w:firstLine="40"/>
                            <w:textDirection w:val="btLr"/>
                          </w:pPr>
                          <w:r>
                            <w:rPr>
                              <w:color w:val="000000"/>
                              <w:sz w:val="16"/>
                            </w:rPr>
                            <w:t>Edificio Liévano Calle 11 No. 8 -17</w:t>
                          </w:r>
                        </w:p>
                        <w:p w14:paraId="7D62C477" w14:textId="77777777" w:rsidR="0022086B" w:rsidRDefault="0065443B">
                          <w:pPr>
                            <w:spacing w:line="180" w:lineRule="auto"/>
                            <w:ind w:left="20" w:firstLine="40"/>
                            <w:textDirection w:val="btLr"/>
                          </w:pPr>
                          <w:r>
                            <w:rPr>
                              <w:color w:val="000000"/>
                              <w:sz w:val="16"/>
                            </w:rPr>
                            <w:t>Código Postal: 111711</w:t>
                          </w:r>
                        </w:p>
                        <w:p w14:paraId="5117F61A" w14:textId="77777777" w:rsidR="0022086B" w:rsidRDefault="0065443B">
                          <w:pPr>
                            <w:spacing w:line="180" w:lineRule="auto"/>
                            <w:ind w:left="20" w:firstLine="40"/>
                            <w:textDirection w:val="btLr"/>
                          </w:pPr>
                          <w:r>
                            <w:rPr>
                              <w:color w:val="000000"/>
                              <w:sz w:val="16"/>
                            </w:rPr>
                            <w:t>Tel. 3387000 - 3820660</w:t>
                          </w:r>
                        </w:p>
                        <w:p w14:paraId="1F491A70" w14:textId="77777777" w:rsidR="0022086B" w:rsidRDefault="0065443B">
                          <w:pPr>
                            <w:spacing w:before="1" w:line="234" w:lineRule="auto"/>
                            <w:ind w:left="20" w:firstLine="40"/>
                            <w:textDirection w:val="btLr"/>
                          </w:pPr>
                          <w:r>
                            <w:rPr>
                              <w:color w:val="000000"/>
                              <w:sz w:val="16"/>
                            </w:rPr>
                            <w:t>Información Línea 195 www.gobiernobogota.gov.co</w:t>
                          </w:r>
                        </w:p>
                      </w:txbxContent>
                    </wps:txbx>
                    <wps:bodyPr spcFirstLastPara="1" wrap="square" lIns="0" tIns="0" rIns="0" bIns="0" anchor="t" anchorCtr="0">
                      <a:noAutofit/>
                    </wps:bodyPr>
                  </wps:wsp>
                </a:graphicData>
              </a:graphic>
            </wp:anchor>
          </w:drawing>
        </mc:Choice>
        <mc:Fallback>
          <w:pict>
            <v:rect w14:anchorId="2D6F9D67" id="Rectángulo 129" o:spid="_x0000_s1046" style="position:absolute;margin-left:5.55pt;margin-top:697.95pt;width:91.5pt;height:57.55pt;z-index:-25165414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" filled="f" stroked="f">
              <v:textbox inset="0,0,0,0">
                <w:txbxContent>
                  <w:p w14:paraId="3ADE4DFD" w14:textId="77777777" w:rsidR="0022086B" w:rsidRDefault="0065443B">
                    <w:pPr>
                      <w:spacing w:before="11" w:line="234" w:lineRule="auto"/>
                      <w:ind w:left="20" w:right="407" w:firstLine="40"/>
                      <w:textDirection w:val="btLr"/>
                    </w:pPr>
                    <w:r>
                      <w:rPr>
                        <w:color w:val="000000"/>
                        <w:sz w:val="16"/>
                      </w:rPr>
                      <w:t>Edificio Liévano Calle 11 No. 8 -17</w:t>
                    </w:r>
                  </w:p>
                  <w:p w14:paraId="7D62C477" w14:textId="77777777" w:rsidR="0022086B" w:rsidRDefault="0065443B">
                    <w:pPr>
                      <w:spacing w:line="180" w:lineRule="auto"/>
                      <w:ind w:left="20" w:firstLine="40"/>
                      <w:textDirection w:val="btLr"/>
                    </w:pPr>
                    <w:r>
                      <w:rPr>
                        <w:color w:val="000000"/>
                        <w:sz w:val="16"/>
                      </w:rPr>
                      <w:t>Código Postal: 111711</w:t>
                    </w:r>
                  </w:p>
                  <w:p w14:paraId="5117F61A" w14:textId="77777777" w:rsidR="0022086B" w:rsidRDefault="0065443B">
                    <w:pPr>
                      <w:spacing w:line="180" w:lineRule="auto"/>
                      <w:ind w:left="20" w:firstLine="40"/>
                      <w:textDirection w:val="btLr"/>
                    </w:pPr>
                    <w:r>
                      <w:rPr>
                        <w:color w:val="000000"/>
                        <w:sz w:val="16"/>
                      </w:rPr>
                      <w:t>Tel. 3387000 - 3820660</w:t>
                    </w:r>
                  </w:p>
                  <w:p w14:paraId="1F491A70" w14:textId="77777777" w:rsidR="0022086B" w:rsidRDefault="0065443B">
                    <w:pPr>
                      <w:spacing w:before="1" w:line="234" w:lineRule="auto"/>
                      <w:ind w:left="20" w:firstLine="40"/>
                      <w:textDirection w:val="btLr"/>
                    </w:pPr>
                    <w:r>
                      <w:rPr>
                        <w:color w:val="000000"/>
                        <w:sz w:val="16"/>
                      </w:rPr>
                      <w:t>Información Línea 195 www.gobiernobogota.gov.co</w:t>
                    </w:r>
                  </w:p>
                </w:txbxContent>
              </v:textbox>
            </v:rect>
          </w:pict>
        </mc:Fallback>
      </mc:AlternateContent>
    </w:r>
    <w:r>
      <w:rPr>
        <w:noProof/>
      </w:rPr>
      <mc:AlternateContent>
        <mc:Choice Requires="wps">
          <w:drawing>
            <wp:anchor distT="0" distB="0" distL="0" distR="0" simplePos="0" relativeHeight="251663360" behindDoc="1" locked="0" layoutInCell="1" hidden="0" allowOverlap="1" wp14:anchorId="5BF85415" wp14:editId="60BE81F8">
              <wp:simplePos x="0" y="0"/>
              <wp:positionH relativeFrom="column">
                <wp:posOffset>2563241</wp:posOffset>
              </wp:positionH>
              <wp:positionV relativeFrom="paragraph">
                <wp:posOffset>8873877</wp:posOffset>
              </wp:positionV>
              <wp:extent cx="1440815" cy="502284"/>
              <wp:effectExtent l="0" t="0" r="0" b="0"/>
              <wp:wrapNone/>
              <wp:docPr id="123" name="Rectángulo 123"/>
              <wp:cNvGraphicFramePr/>
              <a:graphic xmlns:a="http://schemas.openxmlformats.org/drawingml/2006/main">
                <a:graphicData uri="http://schemas.microsoft.com/office/word/2010/wordprocessingShape">
                  <wps:wsp>
                    <wps:cNvSpPr/>
                    <wps:spPr>
                      <a:xfrm>
                        <a:off x="4635118" y="3538383"/>
                        <a:ext cx="1421765" cy="483234"/>
                      </a:xfrm>
                      <a:prstGeom prst="rect">
                        <a:avLst/>
                      </a:prstGeom>
                      <a:noFill/>
                      <a:ln>
                        <a:noFill/>
                      </a:ln>
                    </wps:spPr>
                    <wps:txbx>
                      <w:txbxContent>
                        <w:p w14:paraId="48DEB858" w14:textId="77777777" w:rsidR="0022086B" w:rsidRDefault="0065443B">
                          <w:pPr>
                            <w:spacing w:before="8" w:line="182" w:lineRule="auto"/>
                            <w:ind w:left="5" w:firstLine="10"/>
                            <w:jc w:val="center"/>
                            <w:textDirection w:val="btLr"/>
                          </w:pPr>
                          <w:r>
                            <w:rPr>
                              <w:color w:val="000000"/>
                              <w:sz w:val="14"/>
                            </w:rPr>
                            <w:t xml:space="preserve">Código: </w:t>
                          </w:r>
                          <w:r>
                            <w:rPr>
                              <w:color w:val="000000"/>
                              <w:sz w:val="16"/>
                            </w:rPr>
                            <w:t>GCO-GCI-F015</w:t>
                          </w:r>
                        </w:p>
                        <w:p w14:paraId="2352EE53" w14:textId="77777777" w:rsidR="0022086B" w:rsidRDefault="0065443B">
                          <w:pPr>
                            <w:spacing w:line="180" w:lineRule="auto"/>
                            <w:ind w:left="5" w:firstLine="10"/>
                            <w:jc w:val="center"/>
                            <w:textDirection w:val="btLr"/>
                          </w:pPr>
                          <w:r>
                            <w:rPr>
                              <w:color w:val="000000"/>
                              <w:sz w:val="14"/>
                            </w:rPr>
                            <w:t xml:space="preserve">Versión: </w:t>
                          </w:r>
                          <w:r>
                            <w:rPr>
                              <w:color w:val="000000"/>
                              <w:sz w:val="16"/>
                            </w:rPr>
                            <w:t>06</w:t>
                          </w:r>
                        </w:p>
                        <w:p w14:paraId="3F8D9E46" w14:textId="77777777" w:rsidR="0022086B" w:rsidRDefault="0065443B">
                          <w:pPr>
                            <w:spacing w:before="1" w:line="234" w:lineRule="auto"/>
                            <w:ind w:left="5" w:right="3" w:firstLine="10"/>
                            <w:jc w:val="center"/>
                            <w:textDirection w:val="btLr"/>
                          </w:pPr>
                          <w:r>
                            <w:rPr>
                              <w:color w:val="000000"/>
                              <w:sz w:val="16"/>
                            </w:rPr>
                            <w:t>Vigencia: 14 de septiembre de 2023 Caso Hola No. 343604</w:t>
                          </w:r>
                        </w:p>
                      </w:txbxContent>
                    </wps:txbx>
                    <wps:bodyPr spcFirstLastPara="1" wrap="square" lIns="0" tIns="0" rIns="0" bIns="0" anchor="t" anchorCtr="0">
                      <a:noAutofit/>
                    </wps:bodyPr>
                  </wps:wsp>
                </a:graphicData>
              </a:graphic>
            </wp:anchor>
          </w:drawing>
        </mc:Choice>
        <mc:Fallback>
          <w:pict>
            <v:rect w14:anchorId="5BF85415" id="Rectángulo 123" o:spid="_x0000_s1047" style="position:absolute;margin-left:201.85pt;margin-top:698.75pt;width:113.45pt;height:39.55pt;z-index:-25165312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" filled="f" stroked="f">
              <v:textbox inset="0,0,0,0">
                <w:txbxContent>
                  <w:p w14:paraId="48DEB858" w14:textId="77777777" w:rsidR="0022086B" w:rsidRDefault="0065443B">
                    <w:pPr>
                      <w:spacing w:before="8" w:line="182" w:lineRule="auto"/>
                      <w:ind w:left="5" w:firstLine="10"/>
                      <w:jc w:val="center"/>
                      <w:textDirection w:val="btLr"/>
                    </w:pPr>
                    <w:r>
                      <w:rPr>
                        <w:color w:val="000000"/>
                        <w:sz w:val="14"/>
                      </w:rPr>
                      <w:t xml:space="preserve">Código: </w:t>
                    </w:r>
                    <w:r>
                      <w:rPr>
                        <w:color w:val="000000"/>
                        <w:sz w:val="16"/>
                      </w:rPr>
                      <w:t>GCO-GCI-F015</w:t>
                    </w:r>
                  </w:p>
                  <w:p w14:paraId="2352EE53" w14:textId="77777777" w:rsidR="0022086B" w:rsidRDefault="0065443B">
                    <w:pPr>
                      <w:spacing w:line="180" w:lineRule="auto"/>
                      <w:ind w:left="5" w:firstLine="10"/>
                      <w:jc w:val="center"/>
                      <w:textDirection w:val="btLr"/>
                    </w:pPr>
                    <w:r>
                      <w:rPr>
                        <w:color w:val="000000"/>
                        <w:sz w:val="14"/>
                      </w:rPr>
                      <w:t xml:space="preserve">Versión: </w:t>
                    </w:r>
                    <w:r>
                      <w:rPr>
                        <w:color w:val="000000"/>
                        <w:sz w:val="16"/>
                      </w:rPr>
                      <w:t>06</w:t>
                    </w:r>
                  </w:p>
                  <w:p w14:paraId="3F8D9E46" w14:textId="77777777" w:rsidR="0022086B" w:rsidRDefault="0065443B">
                    <w:pPr>
                      <w:spacing w:before="1" w:line="234" w:lineRule="auto"/>
                      <w:ind w:left="5" w:right="3" w:firstLine="10"/>
                      <w:jc w:val="center"/>
                      <w:textDirection w:val="btLr"/>
                    </w:pPr>
                    <w:r>
                      <w:rPr>
                        <w:color w:val="000000"/>
                        <w:sz w:val="16"/>
                      </w:rPr>
                      <w:t>Vigencia: 14 de septiembre de 2023 Caso Hola No. 343604</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578FC" w14:textId="77777777" w:rsidR="00A23238" w:rsidRDefault="00A23238">
      <w:r>
        <w:separator/>
      </w:r>
    </w:p>
  </w:footnote>
  <w:footnote w:type="continuationSeparator" w:id="0">
    <w:p w14:paraId="0B7428D8" w14:textId="77777777" w:rsidR="00A23238" w:rsidRDefault="00A23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0C343" w14:textId="77777777" w:rsidR="0022086B" w:rsidRDefault="0065443B">
    <w:pPr>
      <w:widowControl/>
      <w:pBdr>
        <w:top w:val="nil"/>
        <w:left w:val="nil"/>
        <w:bottom w:val="nil"/>
        <w:right w:val="nil"/>
        <w:between w:val="nil"/>
      </w:pBdr>
      <w:rPr>
        <w:rFonts w:ascii="Garamond" w:eastAsia="Garamond" w:hAnsi="Garamond" w:cs="Garamond"/>
        <w:b/>
        <w:color w:val="000000"/>
        <w:sz w:val="24"/>
        <w:szCs w:val="24"/>
      </w:rPr>
    </w:pPr>
    <w:r>
      <w:rPr>
        <w:noProof/>
      </w:rPr>
      <w:drawing>
        <wp:anchor distT="0" distB="0" distL="114300" distR="114300" simplePos="0" relativeHeight="251658240" behindDoc="0" locked="0" layoutInCell="1" hidden="0" allowOverlap="1" wp14:anchorId="132D7A98" wp14:editId="52C4E69E">
          <wp:simplePos x="0" y="0"/>
          <wp:positionH relativeFrom="column">
            <wp:posOffset>2</wp:posOffset>
          </wp:positionH>
          <wp:positionV relativeFrom="paragraph">
            <wp:posOffset>17780</wp:posOffset>
          </wp:positionV>
          <wp:extent cx="2009775" cy="733425"/>
          <wp:effectExtent l="0" t="0" r="0" b="0"/>
          <wp:wrapSquare wrapText="bothSides" distT="0" distB="0" distL="114300" distR="114300"/>
          <wp:docPr id="13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009775" cy="733425"/>
                  </a:xfrm>
                  <a:prstGeom prst="rect">
                    <a:avLst/>
                  </a:prstGeom>
                  <a:ln/>
                </pic:spPr>
              </pic:pic>
            </a:graphicData>
          </a:graphic>
        </wp:anchor>
      </w:drawing>
    </w:r>
  </w:p>
  <w:p w14:paraId="56AFE67D" w14:textId="77777777" w:rsidR="0022086B" w:rsidRDefault="0065443B">
    <w:pPr>
      <w:widowControl/>
      <w:pBdr>
        <w:top w:val="nil"/>
        <w:left w:val="nil"/>
        <w:bottom w:val="nil"/>
        <w:right w:val="nil"/>
        <w:between w:val="nil"/>
      </w:pBdr>
      <w:spacing w:line="360" w:lineRule="auto"/>
      <w:jc w:val="center"/>
      <w:rPr>
        <w:rFonts w:ascii="Garamond" w:eastAsia="Garamond" w:hAnsi="Garamond" w:cs="Garamond"/>
        <w:b/>
        <w:color w:val="000000"/>
        <w:sz w:val="24"/>
        <w:szCs w:val="24"/>
      </w:rPr>
    </w:pPr>
    <w:r>
      <w:rPr>
        <w:rFonts w:ascii="Garamond" w:eastAsia="Garamond" w:hAnsi="Garamond" w:cs="Garamond"/>
        <w:b/>
        <w:color w:val="000000"/>
        <w:sz w:val="24"/>
        <w:szCs w:val="24"/>
      </w:rPr>
      <w:t>ESTUDIOS PREVIOS</w:t>
    </w:r>
  </w:p>
  <w:p w14:paraId="352A1AB5" w14:textId="77777777" w:rsidR="0022086B" w:rsidRDefault="0065443B">
    <w:pPr>
      <w:widowControl/>
      <w:pBdr>
        <w:top w:val="nil"/>
        <w:left w:val="nil"/>
        <w:bottom w:val="nil"/>
        <w:right w:val="nil"/>
        <w:between w:val="nil"/>
      </w:pBdr>
      <w:jc w:val="center"/>
      <w:rPr>
        <w:rFonts w:ascii="Garamond" w:eastAsia="Garamond" w:hAnsi="Garamond" w:cs="Garamond"/>
        <w:b/>
        <w:color w:val="000000"/>
        <w:sz w:val="24"/>
        <w:szCs w:val="24"/>
      </w:rPr>
    </w:pPr>
    <w:r>
      <w:rPr>
        <w:rFonts w:ascii="Garamond" w:eastAsia="Garamond" w:hAnsi="Garamond" w:cs="Garamond"/>
        <w:b/>
        <w:color w:val="000000"/>
        <w:sz w:val="24"/>
        <w:szCs w:val="24"/>
      </w:rPr>
      <w:t>CONCURSO DE MÉRITOS (ABIERTO O CON PRECALIFICACIÓN)</w:t>
    </w:r>
  </w:p>
  <w:p w14:paraId="2B4F6EAB" w14:textId="77777777" w:rsidR="0022086B" w:rsidRDefault="0022086B">
    <w:pPr>
      <w:widowControl/>
      <w:pBdr>
        <w:top w:val="nil"/>
        <w:left w:val="nil"/>
        <w:bottom w:val="nil"/>
        <w:right w:val="nil"/>
        <w:between w:val="nil"/>
      </w:pBdr>
      <w:jc w:val="center"/>
      <w:rPr>
        <w:rFonts w:ascii="Garamond" w:eastAsia="Garamond" w:hAnsi="Garamond" w:cs="Garamond"/>
        <w:b/>
        <w:color w:val="000000"/>
        <w:sz w:val="24"/>
        <w:szCs w:val="24"/>
      </w:rPr>
    </w:pPr>
  </w:p>
  <w:p w14:paraId="21555297" w14:textId="77777777" w:rsidR="0022086B" w:rsidRDefault="0065443B">
    <w:pPr>
      <w:widowControl/>
      <w:pBdr>
        <w:top w:val="nil"/>
        <w:left w:val="nil"/>
        <w:bottom w:val="nil"/>
        <w:right w:val="nil"/>
        <w:between w:val="nil"/>
      </w:pBdr>
      <w:spacing w:line="360" w:lineRule="auto"/>
      <w:jc w:val="center"/>
      <w:rPr>
        <w:rFonts w:ascii="Garamond" w:eastAsia="Garamond" w:hAnsi="Garamond" w:cs="Garamond"/>
        <w:b/>
        <w:color w:val="808080"/>
      </w:rPr>
    </w:pPr>
    <w:r>
      <w:rPr>
        <w:rFonts w:ascii="Garamond" w:eastAsia="Garamond" w:hAnsi="Garamond" w:cs="Garamond"/>
        <w:b/>
        <w:color w:val="FF0000"/>
      </w:rPr>
      <w:t xml:space="preserve">                                                                </w:t>
    </w:r>
    <w:r>
      <w:rPr>
        <w:rFonts w:ascii="Garamond" w:eastAsia="Garamond" w:hAnsi="Garamond" w:cs="Garamond"/>
        <w:b/>
        <w:color w:val="808080"/>
      </w:rPr>
      <w:t>ALCALDÍA LOCAL DE TUNJUELITO</w:t>
    </w:r>
  </w:p>
  <w:p w14:paraId="614E34BC" w14:textId="77777777" w:rsidR="0022086B" w:rsidRDefault="0022086B">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561FC"/>
    <w:multiLevelType w:val="multilevel"/>
    <w:tmpl w:val="87BA7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A01C8F"/>
    <w:multiLevelType w:val="hybridMultilevel"/>
    <w:tmpl w:val="324613EC"/>
    <w:lvl w:ilvl="0" w:tplc="CDBA053E">
      <w:start w:val="1"/>
      <w:numFmt w:val="upperLetter"/>
      <w:lvlText w:val="%1."/>
      <w:lvlJc w:val="left"/>
      <w:pPr>
        <w:ind w:left="720" w:hanging="360"/>
      </w:pPr>
    </w:lvl>
    <w:lvl w:ilvl="1" w:tplc="63B45318" w:tentative="1">
      <w:start w:val="1"/>
      <w:numFmt w:val="bullet"/>
      <w:lvlText w:val="o"/>
      <w:lvlJc w:val="left"/>
      <w:pPr>
        <w:ind w:left="1440" w:hanging="360"/>
      </w:pPr>
      <w:rPr>
        <w:rFonts w:ascii="Courier New" w:hAnsi="Courier New" w:hint="default"/>
      </w:rPr>
    </w:lvl>
    <w:lvl w:ilvl="2" w:tplc="44F01830" w:tentative="1">
      <w:start w:val="1"/>
      <w:numFmt w:val="bullet"/>
      <w:lvlText w:val=""/>
      <w:lvlJc w:val="left"/>
      <w:pPr>
        <w:ind w:left="2160" w:hanging="360"/>
      </w:pPr>
      <w:rPr>
        <w:rFonts w:ascii="Wingdings" w:hAnsi="Wingdings" w:hint="default"/>
      </w:rPr>
    </w:lvl>
    <w:lvl w:ilvl="3" w:tplc="6A34BBB0" w:tentative="1">
      <w:start w:val="1"/>
      <w:numFmt w:val="bullet"/>
      <w:lvlText w:val=""/>
      <w:lvlJc w:val="left"/>
      <w:pPr>
        <w:ind w:left="2880" w:hanging="360"/>
      </w:pPr>
      <w:rPr>
        <w:rFonts w:ascii="Symbol" w:hAnsi="Symbol" w:hint="default"/>
      </w:rPr>
    </w:lvl>
    <w:lvl w:ilvl="4" w:tplc="F81E47D2" w:tentative="1">
      <w:start w:val="1"/>
      <w:numFmt w:val="bullet"/>
      <w:lvlText w:val="o"/>
      <w:lvlJc w:val="left"/>
      <w:pPr>
        <w:ind w:left="3600" w:hanging="360"/>
      </w:pPr>
      <w:rPr>
        <w:rFonts w:ascii="Courier New" w:hAnsi="Courier New" w:hint="default"/>
      </w:rPr>
    </w:lvl>
    <w:lvl w:ilvl="5" w:tplc="D49852EE" w:tentative="1">
      <w:start w:val="1"/>
      <w:numFmt w:val="bullet"/>
      <w:lvlText w:val=""/>
      <w:lvlJc w:val="left"/>
      <w:pPr>
        <w:ind w:left="4320" w:hanging="360"/>
      </w:pPr>
      <w:rPr>
        <w:rFonts w:ascii="Wingdings" w:hAnsi="Wingdings" w:hint="default"/>
      </w:rPr>
    </w:lvl>
    <w:lvl w:ilvl="6" w:tplc="D180CD7A" w:tentative="1">
      <w:start w:val="1"/>
      <w:numFmt w:val="bullet"/>
      <w:lvlText w:val=""/>
      <w:lvlJc w:val="left"/>
      <w:pPr>
        <w:ind w:left="5040" w:hanging="360"/>
      </w:pPr>
      <w:rPr>
        <w:rFonts w:ascii="Symbol" w:hAnsi="Symbol" w:hint="default"/>
      </w:rPr>
    </w:lvl>
    <w:lvl w:ilvl="7" w:tplc="54ACA796" w:tentative="1">
      <w:start w:val="1"/>
      <w:numFmt w:val="bullet"/>
      <w:lvlText w:val="o"/>
      <w:lvlJc w:val="left"/>
      <w:pPr>
        <w:ind w:left="5760" w:hanging="360"/>
      </w:pPr>
      <w:rPr>
        <w:rFonts w:ascii="Courier New" w:hAnsi="Courier New" w:hint="default"/>
      </w:rPr>
    </w:lvl>
    <w:lvl w:ilvl="8" w:tplc="958A6654" w:tentative="1">
      <w:start w:val="1"/>
      <w:numFmt w:val="bullet"/>
      <w:lvlText w:val=""/>
      <w:lvlJc w:val="left"/>
      <w:pPr>
        <w:ind w:left="6480" w:hanging="360"/>
      </w:pPr>
      <w:rPr>
        <w:rFonts w:ascii="Wingdings" w:hAnsi="Wingdings" w:hint="default"/>
      </w:rPr>
    </w:lvl>
  </w:abstractNum>
  <w:abstractNum w:abstractNumId="2" w15:restartNumberingAfterBreak="0">
    <w:nsid w:val="06CB4980"/>
    <w:multiLevelType w:val="hybridMultilevel"/>
    <w:tmpl w:val="D28492EA"/>
    <w:styleLink w:val="Estilo1"/>
    <w:lvl w:ilvl="0" w:tplc="2C400598">
      <w:start w:val="1"/>
      <w:numFmt w:val="upperRoman"/>
      <w:lvlText w:val="CAPÍTULO %1."/>
      <w:lvlJc w:val="righ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3" w15:restartNumberingAfterBreak="0">
    <w:nsid w:val="08816D3A"/>
    <w:multiLevelType w:val="multilevel"/>
    <w:tmpl w:val="1CF403C2"/>
    <w:lvl w:ilvl="0">
      <w:start w:val="1"/>
      <w:numFmt w:val="bullet"/>
      <w:pStyle w:val="Literales"/>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EC55757"/>
    <w:multiLevelType w:val="multilevel"/>
    <w:tmpl w:val="BD6EC894"/>
    <w:lvl w:ilvl="0">
      <w:start w:val="1"/>
      <w:numFmt w:val="decimal"/>
      <w:pStyle w:val="Invias-VietaAlfabetic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572399"/>
    <w:multiLevelType w:val="multilevel"/>
    <w:tmpl w:val="A7DC48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C6709D"/>
    <w:multiLevelType w:val="hybridMultilevel"/>
    <w:tmpl w:val="1FDA541E"/>
    <w:lvl w:ilvl="0" w:tplc="5A0C052C">
      <w:start w:val="1"/>
      <w:numFmt w:val="bullet"/>
      <w:lvlText w:val=""/>
      <w:lvlJc w:val="left"/>
      <w:pPr>
        <w:ind w:left="720" w:hanging="360"/>
      </w:pPr>
      <w:rPr>
        <w:rFonts w:ascii="Symbol" w:hAnsi="Symbol" w:hint="default"/>
      </w:rPr>
    </w:lvl>
    <w:lvl w:ilvl="1" w:tplc="C2862920">
      <w:start w:val="1"/>
      <w:numFmt w:val="bullet"/>
      <w:lvlText w:val="o"/>
      <w:lvlJc w:val="left"/>
      <w:pPr>
        <w:ind w:left="1440" w:hanging="360"/>
      </w:pPr>
      <w:rPr>
        <w:rFonts w:ascii="Courier New" w:hAnsi="Courier New" w:hint="default"/>
      </w:rPr>
    </w:lvl>
    <w:lvl w:ilvl="2" w:tplc="15F82430">
      <w:start w:val="1"/>
      <w:numFmt w:val="bullet"/>
      <w:lvlText w:val=""/>
      <w:lvlJc w:val="left"/>
      <w:pPr>
        <w:ind w:left="2160" w:hanging="360"/>
      </w:pPr>
      <w:rPr>
        <w:rFonts w:ascii="Wingdings" w:hAnsi="Wingdings" w:hint="default"/>
      </w:rPr>
    </w:lvl>
    <w:lvl w:ilvl="3" w:tplc="A0823E82">
      <w:start w:val="1"/>
      <w:numFmt w:val="bullet"/>
      <w:lvlText w:val=""/>
      <w:lvlJc w:val="left"/>
      <w:pPr>
        <w:ind w:left="2880" w:hanging="360"/>
      </w:pPr>
      <w:rPr>
        <w:rFonts w:ascii="Symbol" w:hAnsi="Symbol" w:hint="default"/>
      </w:rPr>
    </w:lvl>
    <w:lvl w:ilvl="4" w:tplc="4A46BDF6">
      <w:start w:val="1"/>
      <w:numFmt w:val="bullet"/>
      <w:lvlText w:val="o"/>
      <w:lvlJc w:val="left"/>
      <w:pPr>
        <w:ind w:left="3600" w:hanging="360"/>
      </w:pPr>
      <w:rPr>
        <w:rFonts w:ascii="Courier New" w:hAnsi="Courier New" w:hint="default"/>
      </w:rPr>
    </w:lvl>
    <w:lvl w:ilvl="5" w:tplc="28FE1CAE">
      <w:start w:val="1"/>
      <w:numFmt w:val="bullet"/>
      <w:lvlText w:val=""/>
      <w:lvlJc w:val="left"/>
      <w:pPr>
        <w:ind w:left="4320" w:hanging="360"/>
      </w:pPr>
      <w:rPr>
        <w:rFonts w:ascii="Wingdings" w:hAnsi="Wingdings" w:hint="default"/>
      </w:rPr>
    </w:lvl>
    <w:lvl w:ilvl="6" w:tplc="C5E42D50">
      <w:start w:val="1"/>
      <w:numFmt w:val="bullet"/>
      <w:lvlText w:val=""/>
      <w:lvlJc w:val="left"/>
      <w:pPr>
        <w:ind w:left="5040" w:hanging="360"/>
      </w:pPr>
      <w:rPr>
        <w:rFonts w:ascii="Symbol" w:hAnsi="Symbol" w:hint="default"/>
      </w:rPr>
    </w:lvl>
    <w:lvl w:ilvl="7" w:tplc="E168116C">
      <w:start w:val="1"/>
      <w:numFmt w:val="bullet"/>
      <w:lvlText w:val="o"/>
      <w:lvlJc w:val="left"/>
      <w:pPr>
        <w:ind w:left="5760" w:hanging="360"/>
      </w:pPr>
      <w:rPr>
        <w:rFonts w:ascii="Courier New" w:hAnsi="Courier New" w:hint="default"/>
      </w:rPr>
    </w:lvl>
    <w:lvl w:ilvl="8" w:tplc="C8865674">
      <w:start w:val="1"/>
      <w:numFmt w:val="bullet"/>
      <w:lvlText w:val=""/>
      <w:lvlJc w:val="left"/>
      <w:pPr>
        <w:ind w:left="6480" w:hanging="360"/>
      </w:pPr>
      <w:rPr>
        <w:rFonts w:ascii="Wingdings" w:hAnsi="Wingdings" w:hint="default"/>
      </w:rPr>
    </w:lvl>
  </w:abstractNum>
  <w:abstractNum w:abstractNumId="7" w15:restartNumberingAfterBreak="0">
    <w:nsid w:val="1A29456C"/>
    <w:multiLevelType w:val="multilevel"/>
    <w:tmpl w:val="EEF4C56E"/>
    <w:lvl w:ilvl="0">
      <w:start w:val="1"/>
      <w:numFmt w:val="decimal"/>
      <w:pStyle w:val="Captulo7"/>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B473D0"/>
    <w:multiLevelType w:val="multilevel"/>
    <w:tmpl w:val="AAC039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C052AFF"/>
    <w:multiLevelType w:val="multilevel"/>
    <w:tmpl w:val="427AA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DE32F0"/>
    <w:multiLevelType w:val="multilevel"/>
    <w:tmpl w:val="9C10BF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1E45635A"/>
    <w:multiLevelType w:val="multilevel"/>
    <w:tmpl w:val="6EDAF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F4F511B"/>
    <w:multiLevelType w:val="hybridMultilevel"/>
    <w:tmpl w:val="97D45028"/>
    <w:lvl w:ilvl="0" w:tplc="EBFA872A">
      <w:start w:val="1"/>
      <w:numFmt w:val="bullet"/>
      <w:lvlText w:val=""/>
      <w:lvlJc w:val="left"/>
      <w:pPr>
        <w:ind w:left="720" w:hanging="360"/>
      </w:pPr>
      <w:rPr>
        <w:rFonts w:ascii="Symbol" w:hAnsi="Symbol" w:hint="default"/>
      </w:rPr>
    </w:lvl>
    <w:lvl w:ilvl="1" w:tplc="E040B2C8" w:tentative="1">
      <w:start w:val="1"/>
      <w:numFmt w:val="bullet"/>
      <w:lvlText w:val="o"/>
      <w:lvlJc w:val="left"/>
      <w:pPr>
        <w:ind w:left="1440" w:hanging="360"/>
      </w:pPr>
      <w:rPr>
        <w:rFonts w:ascii="Courier New" w:hAnsi="Courier New" w:hint="default"/>
      </w:rPr>
    </w:lvl>
    <w:lvl w:ilvl="2" w:tplc="554E0D68" w:tentative="1">
      <w:start w:val="1"/>
      <w:numFmt w:val="bullet"/>
      <w:lvlText w:val=""/>
      <w:lvlJc w:val="left"/>
      <w:pPr>
        <w:ind w:left="2160" w:hanging="360"/>
      </w:pPr>
      <w:rPr>
        <w:rFonts w:ascii="Wingdings" w:hAnsi="Wingdings" w:hint="default"/>
      </w:rPr>
    </w:lvl>
    <w:lvl w:ilvl="3" w:tplc="BC3AA49C" w:tentative="1">
      <w:start w:val="1"/>
      <w:numFmt w:val="bullet"/>
      <w:lvlText w:val=""/>
      <w:lvlJc w:val="left"/>
      <w:pPr>
        <w:ind w:left="2880" w:hanging="360"/>
      </w:pPr>
      <w:rPr>
        <w:rFonts w:ascii="Symbol" w:hAnsi="Symbol" w:hint="default"/>
      </w:rPr>
    </w:lvl>
    <w:lvl w:ilvl="4" w:tplc="931E50D2" w:tentative="1">
      <w:start w:val="1"/>
      <w:numFmt w:val="bullet"/>
      <w:lvlText w:val="o"/>
      <w:lvlJc w:val="left"/>
      <w:pPr>
        <w:ind w:left="3600" w:hanging="360"/>
      </w:pPr>
      <w:rPr>
        <w:rFonts w:ascii="Courier New" w:hAnsi="Courier New" w:hint="default"/>
      </w:rPr>
    </w:lvl>
    <w:lvl w:ilvl="5" w:tplc="0D7E1DE6" w:tentative="1">
      <w:start w:val="1"/>
      <w:numFmt w:val="bullet"/>
      <w:lvlText w:val=""/>
      <w:lvlJc w:val="left"/>
      <w:pPr>
        <w:ind w:left="4320" w:hanging="360"/>
      </w:pPr>
      <w:rPr>
        <w:rFonts w:ascii="Wingdings" w:hAnsi="Wingdings" w:hint="default"/>
      </w:rPr>
    </w:lvl>
    <w:lvl w:ilvl="6" w:tplc="7DD007FC" w:tentative="1">
      <w:start w:val="1"/>
      <w:numFmt w:val="bullet"/>
      <w:lvlText w:val=""/>
      <w:lvlJc w:val="left"/>
      <w:pPr>
        <w:ind w:left="5040" w:hanging="360"/>
      </w:pPr>
      <w:rPr>
        <w:rFonts w:ascii="Symbol" w:hAnsi="Symbol" w:hint="default"/>
      </w:rPr>
    </w:lvl>
    <w:lvl w:ilvl="7" w:tplc="A0E26EEC" w:tentative="1">
      <w:start w:val="1"/>
      <w:numFmt w:val="bullet"/>
      <w:lvlText w:val="o"/>
      <w:lvlJc w:val="left"/>
      <w:pPr>
        <w:ind w:left="5760" w:hanging="360"/>
      </w:pPr>
      <w:rPr>
        <w:rFonts w:ascii="Courier New" w:hAnsi="Courier New" w:hint="default"/>
      </w:rPr>
    </w:lvl>
    <w:lvl w:ilvl="8" w:tplc="C6CE78BA" w:tentative="1">
      <w:start w:val="1"/>
      <w:numFmt w:val="bullet"/>
      <w:lvlText w:val=""/>
      <w:lvlJc w:val="left"/>
      <w:pPr>
        <w:ind w:left="6480" w:hanging="360"/>
      </w:pPr>
      <w:rPr>
        <w:rFonts w:ascii="Wingdings" w:hAnsi="Wingdings" w:hint="default"/>
      </w:rPr>
    </w:lvl>
  </w:abstractNum>
  <w:abstractNum w:abstractNumId="13" w15:restartNumberingAfterBreak="0">
    <w:nsid w:val="21CE120B"/>
    <w:multiLevelType w:val="hybridMultilevel"/>
    <w:tmpl w:val="CFF81CA4"/>
    <w:lvl w:ilvl="0" w:tplc="3B7C8F10">
      <w:start w:val="1"/>
      <w:numFmt w:val="upperLetter"/>
      <w:lvlText w:val="%1."/>
      <w:lvlJc w:val="left"/>
      <w:pPr>
        <w:ind w:left="720" w:hanging="360"/>
      </w:pPr>
      <w:rPr>
        <w:color w:val="auto"/>
        <w:sz w:val="20"/>
        <w:szCs w:val="2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22346663"/>
    <w:multiLevelType w:val="hybridMultilevel"/>
    <w:tmpl w:val="47CCD312"/>
    <w:lvl w:ilvl="0" w:tplc="2FB835AA">
      <w:start w:val="1"/>
      <w:numFmt w:val="bullet"/>
      <w:lvlText w:val=""/>
      <w:lvlJc w:val="left"/>
      <w:pPr>
        <w:ind w:left="720" w:hanging="360"/>
      </w:pPr>
      <w:rPr>
        <w:rFonts w:ascii="Symbol" w:hAnsi="Symbol" w:hint="default"/>
      </w:rPr>
    </w:lvl>
    <w:lvl w:ilvl="1" w:tplc="3D205638" w:tentative="1">
      <w:start w:val="1"/>
      <w:numFmt w:val="bullet"/>
      <w:lvlText w:val="o"/>
      <w:lvlJc w:val="left"/>
      <w:pPr>
        <w:ind w:left="1440" w:hanging="360"/>
      </w:pPr>
      <w:rPr>
        <w:rFonts w:ascii="Courier New" w:hAnsi="Courier New" w:hint="default"/>
      </w:rPr>
    </w:lvl>
    <w:lvl w:ilvl="2" w:tplc="2C4E2472" w:tentative="1">
      <w:start w:val="1"/>
      <w:numFmt w:val="bullet"/>
      <w:lvlText w:val=""/>
      <w:lvlJc w:val="left"/>
      <w:pPr>
        <w:ind w:left="2160" w:hanging="360"/>
      </w:pPr>
      <w:rPr>
        <w:rFonts w:ascii="Wingdings" w:hAnsi="Wingdings" w:hint="default"/>
      </w:rPr>
    </w:lvl>
    <w:lvl w:ilvl="3" w:tplc="92DA39D2" w:tentative="1">
      <w:start w:val="1"/>
      <w:numFmt w:val="bullet"/>
      <w:lvlText w:val=""/>
      <w:lvlJc w:val="left"/>
      <w:pPr>
        <w:ind w:left="2880" w:hanging="360"/>
      </w:pPr>
      <w:rPr>
        <w:rFonts w:ascii="Symbol" w:hAnsi="Symbol" w:hint="default"/>
      </w:rPr>
    </w:lvl>
    <w:lvl w:ilvl="4" w:tplc="8662E7D4" w:tentative="1">
      <w:start w:val="1"/>
      <w:numFmt w:val="bullet"/>
      <w:lvlText w:val="o"/>
      <w:lvlJc w:val="left"/>
      <w:pPr>
        <w:ind w:left="3600" w:hanging="360"/>
      </w:pPr>
      <w:rPr>
        <w:rFonts w:ascii="Courier New" w:hAnsi="Courier New" w:hint="default"/>
      </w:rPr>
    </w:lvl>
    <w:lvl w:ilvl="5" w:tplc="74FC6144" w:tentative="1">
      <w:start w:val="1"/>
      <w:numFmt w:val="bullet"/>
      <w:lvlText w:val=""/>
      <w:lvlJc w:val="left"/>
      <w:pPr>
        <w:ind w:left="4320" w:hanging="360"/>
      </w:pPr>
      <w:rPr>
        <w:rFonts w:ascii="Wingdings" w:hAnsi="Wingdings" w:hint="default"/>
      </w:rPr>
    </w:lvl>
    <w:lvl w:ilvl="6" w:tplc="C5A2501C" w:tentative="1">
      <w:start w:val="1"/>
      <w:numFmt w:val="bullet"/>
      <w:lvlText w:val=""/>
      <w:lvlJc w:val="left"/>
      <w:pPr>
        <w:ind w:left="5040" w:hanging="360"/>
      </w:pPr>
      <w:rPr>
        <w:rFonts w:ascii="Symbol" w:hAnsi="Symbol" w:hint="default"/>
      </w:rPr>
    </w:lvl>
    <w:lvl w:ilvl="7" w:tplc="AD32D5AE" w:tentative="1">
      <w:start w:val="1"/>
      <w:numFmt w:val="bullet"/>
      <w:lvlText w:val="o"/>
      <w:lvlJc w:val="left"/>
      <w:pPr>
        <w:ind w:left="5760" w:hanging="360"/>
      </w:pPr>
      <w:rPr>
        <w:rFonts w:ascii="Courier New" w:hAnsi="Courier New" w:hint="default"/>
      </w:rPr>
    </w:lvl>
    <w:lvl w:ilvl="8" w:tplc="F474BE38" w:tentative="1">
      <w:start w:val="1"/>
      <w:numFmt w:val="bullet"/>
      <w:lvlText w:val=""/>
      <w:lvlJc w:val="left"/>
      <w:pPr>
        <w:ind w:left="6480" w:hanging="360"/>
      </w:pPr>
      <w:rPr>
        <w:rFonts w:ascii="Wingdings" w:hAnsi="Wingdings" w:hint="default"/>
      </w:rPr>
    </w:lvl>
  </w:abstractNum>
  <w:abstractNum w:abstractNumId="15" w15:restartNumberingAfterBreak="0">
    <w:nsid w:val="2A250904"/>
    <w:multiLevelType w:val="multilevel"/>
    <w:tmpl w:val="345CF7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B03443E"/>
    <w:multiLevelType w:val="multilevel"/>
    <w:tmpl w:val="8AE870F2"/>
    <w:lvl w:ilvl="0">
      <w:start w:val="1"/>
      <w:numFmt w:val="upperLetter"/>
      <w:pStyle w:val="Captulo9"/>
      <w:lvlText w:val="%1."/>
      <w:lvlJc w:val="left"/>
      <w:pPr>
        <w:ind w:left="720" w:hanging="360"/>
      </w:pPr>
      <w:rPr>
        <w:rFonts w:ascii="Arial" w:eastAsia="Arial" w:hAnsi="Arial" w:cs="Arial"/>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CD46B4D"/>
    <w:multiLevelType w:val="hybridMultilevel"/>
    <w:tmpl w:val="F2FE8BB4"/>
    <w:lvl w:ilvl="0" w:tplc="240A0015">
      <w:start w:val="1"/>
      <w:numFmt w:val="upperLetter"/>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61865A4"/>
    <w:multiLevelType w:val="multilevel"/>
    <w:tmpl w:val="05C843E4"/>
    <w:lvl w:ilvl="0">
      <w:start w:val="1"/>
      <w:numFmt w:val="upperLetter"/>
      <w:pStyle w:val="Capitulo3"/>
      <w:lvlText w:val="%1."/>
      <w:lvlJc w:val="left"/>
      <w:pPr>
        <w:ind w:left="720" w:hanging="360"/>
      </w:pPr>
      <w:rPr>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6297AA1"/>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7CB2085"/>
    <w:multiLevelType w:val="hybridMultilevel"/>
    <w:tmpl w:val="90FA40C6"/>
    <w:lvl w:ilvl="0" w:tplc="4C827C52">
      <w:start w:val="1"/>
      <w:numFmt w:val="bullet"/>
      <w:lvlText w:val=""/>
      <w:lvlJc w:val="left"/>
      <w:pPr>
        <w:ind w:left="720" w:hanging="360"/>
      </w:pPr>
      <w:rPr>
        <w:rFonts w:ascii="Symbol" w:hAnsi="Symbol" w:hint="default"/>
      </w:rPr>
    </w:lvl>
    <w:lvl w:ilvl="1" w:tplc="B87E5CA0" w:tentative="1">
      <w:start w:val="1"/>
      <w:numFmt w:val="bullet"/>
      <w:lvlText w:val="o"/>
      <w:lvlJc w:val="left"/>
      <w:pPr>
        <w:ind w:left="1440" w:hanging="360"/>
      </w:pPr>
      <w:rPr>
        <w:rFonts w:ascii="Courier New" w:hAnsi="Courier New" w:hint="default"/>
      </w:rPr>
    </w:lvl>
    <w:lvl w:ilvl="2" w:tplc="C4408644" w:tentative="1">
      <w:start w:val="1"/>
      <w:numFmt w:val="bullet"/>
      <w:lvlText w:val=""/>
      <w:lvlJc w:val="left"/>
      <w:pPr>
        <w:ind w:left="2160" w:hanging="360"/>
      </w:pPr>
      <w:rPr>
        <w:rFonts w:ascii="Wingdings" w:hAnsi="Wingdings" w:hint="default"/>
      </w:rPr>
    </w:lvl>
    <w:lvl w:ilvl="3" w:tplc="7C483696" w:tentative="1">
      <w:start w:val="1"/>
      <w:numFmt w:val="bullet"/>
      <w:lvlText w:val=""/>
      <w:lvlJc w:val="left"/>
      <w:pPr>
        <w:ind w:left="2880" w:hanging="360"/>
      </w:pPr>
      <w:rPr>
        <w:rFonts w:ascii="Symbol" w:hAnsi="Symbol" w:hint="default"/>
      </w:rPr>
    </w:lvl>
    <w:lvl w:ilvl="4" w:tplc="7CD42DDE" w:tentative="1">
      <w:start w:val="1"/>
      <w:numFmt w:val="bullet"/>
      <w:lvlText w:val="o"/>
      <w:lvlJc w:val="left"/>
      <w:pPr>
        <w:ind w:left="3600" w:hanging="360"/>
      </w:pPr>
      <w:rPr>
        <w:rFonts w:ascii="Courier New" w:hAnsi="Courier New" w:hint="default"/>
      </w:rPr>
    </w:lvl>
    <w:lvl w:ilvl="5" w:tplc="1130B4AE" w:tentative="1">
      <w:start w:val="1"/>
      <w:numFmt w:val="bullet"/>
      <w:lvlText w:val=""/>
      <w:lvlJc w:val="left"/>
      <w:pPr>
        <w:ind w:left="4320" w:hanging="360"/>
      </w:pPr>
      <w:rPr>
        <w:rFonts w:ascii="Wingdings" w:hAnsi="Wingdings" w:hint="default"/>
      </w:rPr>
    </w:lvl>
    <w:lvl w:ilvl="6" w:tplc="F3522082" w:tentative="1">
      <w:start w:val="1"/>
      <w:numFmt w:val="bullet"/>
      <w:lvlText w:val=""/>
      <w:lvlJc w:val="left"/>
      <w:pPr>
        <w:ind w:left="5040" w:hanging="360"/>
      </w:pPr>
      <w:rPr>
        <w:rFonts w:ascii="Symbol" w:hAnsi="Symbol" w:hint="default"/>
      </w:rPr>
    </w:lvl>
    <w:lvl w:ilvl="7" w:tplc="9A6C8D2C" w:tentative="1">
      <w:start w:val="1"/>
      <w:numFmt w:val="bullet"/>
      <w:lvlText w:val="o"/>
      <w:lvlJc w:val="left"/>
      <w:pPr>
        <w:ind w:left="5760" w:hanging="360"/>
      </w:pPr>
      <w:rPr>
        <w:rFonts w:ascii="Courier New" w:hAnsi="Courier New" w:hint="default"/>
      </w:rPr>
    </w:lvl>
    <w:lvl w:ilvl="8" w:tplc="795A0E1C" w:tentative="1">
      <w:start w:val="1"/>
      <w:numFmt w:val="bullet"/>
      <w:lvlText w:val=""/>
      <w:lvlJc w:val="left"/>
      <w:pPr>
        <w:ind w:left="6480" w:hanging="360"/>
      </w:pPr>
      <w:rPr>
        <w:rFonts w:ascii="Wingdings" w:hAnsi="Wingdings" w:hint="default"/>
      </w:rPr>
    </w:lvl>
  </w:abstractNum>
  <w:abstractNum w:abstractNumId="21" w15:restartNumberingAfterBreak="0">
    <w:nsid w:val="391E745B"/>
    <w:multiLevelType w:val="multilevel"/>
    <w:tmpl w:val="544A23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3B211E36"/>
    <w:multiLevelType w:val="multilevel"/>
    <w:tmpl w:val="50ECE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DC141E"/>
    <w:multiLevelType w:val="hybridMultilevel"/>
    <w:tmpl w:val="9AB0CA4C"/>
    <w:lvl w:ilvl="0" w:tplc="0C461934">
      <w:start w:val="1"/>
      <w:numFmt w:val="bullet"/>
      <w:lvlText w:val=""/>
      <w:lvlJc w:val="left"/>
      <w:pPr>
        <w:ind w:left="720" w:hanging="360"/>
      </w:pPr>
      <w:rPr>
        <w:rFonts w:ascii="Symbol" w:hAnsi="Symbol" w:hint="default"/>
      </w:rPr>
    </w:lvl>
    <w:lvl w:ilvl="1" w:tplc="43CAE986" w:tentative="1">
      <w:start w:val="1"/>
      <w:numFmt w:val="bullet"/>
      <w:lvlText w:val="o"/>
      <w:lvlJc w:val="left"/>
      <w:pPr>
        <w:ind w:left="1440" w:hanging="360"/>
      </w:pPr>
      <w:rPr>
        <w:rFonts w:ascii="Courier New" w:hAnsi="Courier New" w:hint="default"/>
      </w:rPr>
    </w:lvl>
    <w:lvl w:ilvl="2" w:tplc="5DDE6472">
      <w:start w:val="1"/>
      <w:numFmt w:val="bullet"/>
      <w:lvlText w:val=""/>
      <w:lvlJc w:val="left"/>
      <w:pPr>
        <w:ind w:left="2160" w:hanging="360"/>
      </w:pPr>
      <w:rPr>
        <w:rFonts w:ascii="Wingdings" w:hAnsi="Wingdings" w:hint="default"/>
      </w:rPr>
    </w:lvl>
    <w:lvl w:ilvl="3" w:tplc="D93A0ABE" w:tentative="1">
      <w:start w:val="1"/>
      <w:numFmt w:val="bullet"/>
      <w:lvlText w:val=""/>
      <w:lvlJc w:val="left"/>
      <w:pPr>
        <w:ind w:left="2880" w:hanging="360"/>
      </w:pPr>
      <w:rPr>
        <w:rFonts w:ascii="Symbol" w:hAnsi="Symbol" w:hint="default"/>
      </w:rPr>
    </w:lvl>
    <w:lvl w:ilvl="4" w:tplc="7AC687C0" w:tentative="1">
      <w:start w:val="1"/>
      <w:numFmt w:val="bullet"/>
      <w:lvlText w:val="o"/>
      <w:lvlJc w:val="left"/>
      <w:pPr>
        <w:ind w:left="3600" w:hanging="360"/>
      </w:pPr>
      <w:rPr>
        <w:rFonts w:ascii="Courier New" w:hAnsi="Courier New" w:hint="default"/>
      </w:rPr>
    </w:lvl>
    <w:lvl w:ilvl="5" w:tplc="3C70F26A" w:tentative="1">
      <w:start w:val="1"/>
      <w:numFmt w:val="bullet"/>
      <w:lvlText w:val=""/>
      <w:lvlJc w:val="left"/>
      <w:pPr>
        <w:ind w:left="4320" w:hanging="360"/>
      </w:pPr>
      <w:rPr>
        <w:rFonts w:ascii="Wingdings" w:hAnsi="Wingdings" w:hint="default"/>
      </w:rPr>
    </w:lvl>
    <w:lvl w:ilvl="6" w:tplc="587E6102" w:tentative="1">
      <w:start w:val="1"/>
      <w:numFmt w:val="bullet"/>
      <w:lvlText w:val=""/>
      <w:lvlJc w:val="left"/>
      <w:pPr>
        <w:ind w:left="5040" w:hanging="360"/>
      </w:pPr>
      <w:rPr>
        <w:rFonts w:ascii="Symbol" w:hAnsi="Symbol" w:hint="default"/>
      </w:rPr>
    </w:lvl>
    <w:lvl w:ilvl="7" w:tplc="F356BFAE" w:tentative="1">
      <w:start w:val="1"/>
      <w:numFmt w:val="bullet"/>
      <w:lvlText w:val="o"/>
      <w:lvlJc w:val="left"/>
      <w:pPr>
        <w:ind w:left="5760" w:hanging="360"/>
      </w:pPr>
      <w:rPr>
        <w:rFonts w:ascii="Courier New" w:hAnsi="Courier New" w:hint="default"/>
      </w:rPr>
    </w:lvl>
    <w:lvl w:ilvl="8" w:tplc="EDFA512A" w:tentative="1">
      <w:start w:val="1"/>
      <w:numFmt w:val="bullet"/>
      <w:lvlText w:val=""/>
      <w:lvlJc w:val="left"/>
      <w:pPr>
        <w:ind w:left="6480" w:hanging="360"/>
      </w:pPr>
      <w:rPr>
        <w:rFonts w:ascii="Wingdings" w:hAnsi="Wingdings" w:hint="default"/>
      </w:rPr>
    </w:lvl>
  </w:abstractNum>
  <w:abstractNum w:abstractNumId="24" w15:restartNumberingAfterBreak="0">
    <w:nsid w:val="3F9C7B8E"/>
    <w:multiLevelType w:val="hybridMultilevel"/>
    <w:tmpl w:val="6E32E256"/>
    <w:lvl w:ilvl="0" w:tplc="240A0013">
      <w:start w:val="1"/>
      <w:numFmt w:val="upperRoman"/>
      <w:lvlText w:val="%1."/>
      <w:lvlJc w:val="right"/>
      <w:pPr>
        <w:ind w:left="1776" w:hanging="360"/>
      </w:pPr>
    </w:lvl>
    <w:lvl w:ilvl="1" w:tplc="240A0019">
      <w:start w:val="1"/>
      <w:numFmt w:val="lowerLetter"/>
      <w:lvlText w:val="%2."/>
      <w:lvlJc w:val="left"/>
      <w:pPr>
        <w:ind w:left="2496" w:hanging="360"/>
      </w:pPr>
    </w:lvl>
    <w:lvl w:ilvl="2" w:tplc="240A001B">
      <w:start w:val="1"/>
      <w:numFmt w:val="lowerRoman"/>
      <w:lvlText w:val="%3."/>
      <w:lvlJc w:val="right"/>
      <w:pPr>
        <w:ind w:left="3216" w:hanging="180"/>
      </w:pPr>
    </w:lvl>
    <w:lvl w:ilvl="3" w:tplc="240A000F">
      <w:start w:val="1"/>
      <w:numFmt w:val="decimal"/>
      <w:lvlText w:val="%4."/>
      <w:lvlJc w:val="left"/>
      <w:pPr>
        <w:ind w:left="3936" w:hanging="360"/>
      </w:pPr>
    </w:lvl>
    <w:lvl w:ilvl="4" w:tplc="240A0019">
      <w:start w:val="1"/>
      <w:numFmt w:val="lowerLetter"/>
      <w:lvlText w:val="%5."/>
      <w:lvlJc w:val="left"/>
      <w:pPr>
        <w:ind w:left="4656" w:hanging="360"/>
      </w:pPr>
    </w:lvl>
    <w:lvl w:ilvl="5" w:tplc="240A001B">
      <w:start w:val="1"/>
      <w:numFmt w:val="lowerRoman"/>
      <w:lvlText w:val="%6."/>
      <w:lvlJc w:val="right"/>
      <w:pPr>
        <w:ind w:left="5376" w:hanging="180"/>
      </w:pPr>
    </w:lvl>
    <w:lvl w:ilvl="6" w:tplc="240A000F">
      <w:start w:val="1"/>
      <w:numFmt w:val="decimal"/>
      <w:lvlText w:val="%7."/>
      <w:lvlJc w:val="left"/>
      <w:pPr>
        <w:ind w:left="6096" w:hanging="360"/>
      </w:pPr>
    </w:lvl>
    <w:lvl w:ilvl="7" w:tplc="240A0019">
      <w:start w:val="1"/>
      <w:numFmt w:val="lowerLetter"/>
      <w:lvlText w:val="%8."/>
      <w:lvlJc w:val="left"/>
      <w:pPr>
        <w:ind w:left="6816" w:hanging="360"/>
      </w:pPr>
    </w:lvl>
    <w:lvl w:ilvl="8" w:tplc="240A001B">
      <w:start w:val="1"/>
      <w:numFmt w:val="lowerRoman"/>
      <w:lvlText w:val="%9."/>
      <w:lvlJc w:val="right"/>
      <w:pPr>
        <w:ind w:left="7536" w:hanging="180"/>
      </w:pPr>
    </w:lvl>
  </w:abstractNum>
  <w:abstractNum w:abstractNumId="25" w15:restartNumberingAfterBreak="0">
    <w:nsid w:val="40820E86"/>
    <w:multiLevelType w:val="hybridMultilevel"/>
    <w:tmpl w:val="DDE6456C"/>
    <w:lvl w:ilvl="0" w:tplc="07BE82E6">
      <w:start w:val="1"/>
      <w:numFmt w:val="bullet"/>
      <w:lvlText w:val=""/>
      <w:lvlJc w:val="left"/>
      <w:pPr>
        <w:ind w:left="720" w:hanging="360"/>
      </w:pPr>
      <w:rPr>
        <w:rFonts w:ascii="Symbol" w:hAnsi="Symbol" w:hint="default"/>
      </w:rPr>
    </w:lvl>
    <w:lvl w:ilvl="1" w:tplc="55FE5620">
      <w:start w:val="1"/>
      <w:numFmt w:val="bullet"/>
      <w:lvlText w:val="o"/>
      <w:lvlJc w:val="left"/>
      <w:pPr>
        <w:ind w:left="1440" w:hanging="360"/>
      </w:pPr>
      <w:rPr>
        <w:rFonts w:ascii="Courier New" w:hAnsi="Courier New" w:hint="default"/>
      </w:rPr>
    </w:lvl>
    <w:lvl w:ilvl="2" w:tplc="6C2A1438" w:tentative="1">
      <w:start w:val="1"/>
      <w:numFmt w:val="bullet"/>
      <w:lvlText w:val=""/>
      <w:lvlJc w:val="left"/>
      <w:pPr>
        <w:ind w:left="2160" w:hanging="360"/>
      </w:pPr>
      <w:rPr>
        <w:rFonts w:ascii="Wingdings" w:hAnsi="Wingdings" w:hint="default"/>
      </w:rPr>
    </w:lvl>
    <w:lvl w:ilvl="3" w:tplc="ED987898" w:tentative="1">
      <w:start w:val="1"/>
      <w:numFmt w:val="bullet"/>
      <w:lvlText w:val=""/>
      <w:lvlJc w:val="left"/>
      <w:pPr>
        <w:ind w:left="2880" w:hanging="360"/>
      </w:pPr>
      <w:rPr>
        <w:rFonts w:ascii="Symbol" w:hAnsi="Symbol" w:hint="default"/>
      </w:rPr>
    </w:lvl>
    <w:lvl w:ilvl="4" w:tplc="0458E90A" w:tentative="1">
      <w:start w:val="1"/>
      <w:numFmt w:val="bullet"/>
      <w:lvlText w:val="o"/>
      <w:lvlJc w:val="left"/>
      <w:pPr>
        <w:ind w:left="3600" w:hanging="360"/>
      </w:pPr>
      <w:rPr>
        <w:rFonts w:ascii="Courier New" w:hAnsi="Courier New" w:hint="default"/>
      </w:rPr>
    </w:lvl>
    <w:lvl w:ilvl="5" w:tplc="D9D2C646" w:tentative="1">
      <w:start w:val="1"/>
      <w:numFmt w:val="bullet"/>
      <w:lvlText w:val=""/>
      <w:lvlJc w:val="left"/>
      <w:pPr>
        <w:ind w:left="4320" w:hanging="360"/>
      </w:pPr>
      <w:rPr>
        <w:rFonts w:ascii="Wingdings" w:hAnsi="Wingdings" w:hint="default"/>
      </w:rPr>
    </w:lvl>
    <w:lvl w:ilvl="6" w:tplc="2296548C" w:tentative="1">
      <w:start w:val="1"/>
      <w:numFmt w:val="bullet"/>
      <w:lvlText w:val=""/>
      <w:lvlJc w:val="left"/>
      <w:pPr>
        <w:ind w:left="5040" w:hanging="360"/>
      </w:pPr>
      <w:rPr>
        <w:rFonts w:ascii="Symbol" w:hAnsi="Symbol" w:hint="default"/>
      </w:rPr>
    </w:lvl>
    <w:lvl w:ilvl="7" w:tplc="1384256E" w:tentative="1">
      <w:start w:val="1"/>
      <w:numFmt w:val="bullet"/>
      <w:lvlText w:val="o"/>
      <w:lvlJc w:val="left"/>
      <w:pPr>
        <w:ind w:left="5760" w:hanging="360"/>
      </w:pPr>
      <w:rPr>
        <w:rFonts w:ascii="Courier New" w:hAnsi="Courier New" w:hint="default"/>
      </w:rPr>
    </w:lvl>
    <w:lvl w:ilvl="8" w:tplc="31E69D62" w:tentative="1">
      <w:start w:val="1"/>
      <w:numFmt w:val="bullet"/>
      <w:lvlText w:val=""/>
      <w:lvlJc w:val="left"/>
      <w:pPr>
        <w:ind w:left="6480" w:hanging="360"/>
      </w:pPr>
      <w:rPr>
        <w:rFonts w:ascii="Wingdings" w:hAnsi="Wingdings" w:hint="default"/>
      </w:rPr>
    </w:lvl>
  </w:abstractNum>
  <w:abstractNum w:abstractNumId="26" w15:restartNumberingAfterBreak="0">
    <w:nsid w:val="40D73E54"/>
    <w:multiLevelType w:val="hybridMultilevel"/>
    <w:tmpl w:val="FFFFFFFF"/>
    <w:lvl w:ilvl="0" w:tplc="C48A8AA4">
      <w:start w:val="1"/>
      <w:numFmt w:val="lowerRoman"/>
      <w:lvlText w:val="%1."/>
      <w:lvlJc w:val="right"/>
      <w:pPr>
        <w:ind w:left="720" w:hanging="360"/>
      </w:pPr>
    </w:lvl>
    <w:lvl w:ilvl="1" w:tplc="1870D3FA">
      <w:start w:val="1"/>
      <w:numFmt w:val="lowerLetter"/>
      <w:lvlText w:val="%2."/>
      <w:lvlJc w:val="left"/>
      <w:pPr>
        <w:ind w:left="1440" w:hanging="360"/>
      </w:pPr>
    </w:lvl>
    <w:lvl w:ilvl="2" w:tplc="CEF8AB48">
      <w:start w:val="1"/>
      <w:numFmt w:val="lowerRoman"/>
      <w:lvlText w:val="%3."/>
      <w:lvlJc w:val="right"/>
      <w:pPr>
        <w:ind w:left="2160" w:hanging="180"/>
      </w:pPr>
    </w:lvl>
    <w:lvl w:ilvl="3" w:tplc="799A7F62">
      <w:start w:val="1"/>
      <w:numFmt w:val="decimal"/>
      <w:lvlText w:val="%4."/>
      <w:lvlJc w:val="left"/>
      <w:pPr>
        <w:ind w:left="2880" w:hanging="360"/>
      </w:pPr>
    </w:lvl>
    <w:lvl w:ilvl="4" w:tplc="5F72FBC8">
      <w:start w:val="1"/>
      <w:numFmt w:val="lowerLetter"/>
      <w:lvlText w:val="%5."/>
      <w:lvlJc w:val="left"/>
      <w:pPr>
        <w:ind w:left="3600" w:hanging="360"/>
      </w:pPr>
    </w:lvl>
    <w:lvl w:ilvl="5" w:tplc="A9FA4A08">
      <w:start w:val="1"/>
      <w:numFmt w:val="lowerRoman"/>
      <w:lvlText w:val="%6."/>
      <w:lvlJc w:val="right"/>
      <w:pPr>
        <w:ind w:left="4320" w:hanging="180"/>
      </w:pPr>
    </w:lvl>
    <w:lvl w:ilvl="6" w:tplc="6ADE39F4">
      <w:start w:val="1"/>
      <w:numFmt w:val="decimal"/>
      <w:lvlText w:val="%7."/>
      <w:lvlJc w:val="left"/>
      <w:pPr>
        <w:ind w:left="5040" w:hanging="360"/>
      </w:pPr>
    </w:lvl>
    <w:lvl w:ilvl="7" w:tplc="8F1499F0">
      <w:start w:val="1"/>
      <w:numFmt w:val="lowerLetter"/>
      <w:lvlText w:val="%8."/>
      <w:lvlJc w:val="left"/>
      <w:pPr>
        <w:ind w:left="5760" w:hanging="360"/>
      </w:pPr>
    </w:lvl>
    <w:lvl w:ilvl="8" w:tplc="3C9EDB00">
      <w:start w:val="1"/>
      <w:numFmt w:val="lowerRoman"/>
      <w:lvlText w:val="%9."/>
      <w:lvlJc w:val="right"/>
      <w:pPr>
        <w:ind w:left="6480" w:hanging="180"/>
      </w:pPr>
    </w:lvl>
  </w:abstractNum>
  <w:abstractNum w:abstractNumId="27" w15:restartNumberingAfterBreak="0">
    <w:nsid w:val="41E76A3A"/>
    <w:multiLevelType w:val="hybridMultilevel"/>
    <w:tmpl w:val="A0DEE524"/>
    <w:lvl w:ilvl="0" w:tplc="13A4B6A6">
      <w:start w:val="1"/>
      <w:numFmt w:val="upperLetter"/>
      <w:lvlText w:val="%1."/>
      <w:lvlJc w:val="left"/>
      <w:pPr>
        <w:ind w:left="1069" w:hanging="360"/>
      </w:pPr>
      <w:rPr>
        <w:rFonts w:hint="default"/>
        <w:color w:val="auto"/>
      </w:rPr>
    </w:lvl>
    <w:lvl w:ilvl="1" w:tplc="240A0019" w:tentative="1">
      <w:start w:val="1"/>
      <w:numFmt w:val="lowerLetter"/>
      <w:lvlText w:val="%2."/>
      <w:lvlJc w:val="left"/>
      <w:pPr>
        <w:ind w:left="8106" w:hanging="360"/>
      </w:pPr>
    </w:lvl>
    <w:lvl w:ilvl="2" w:tplc="240A001B" w:tentative="1">
      <w:start w:val="1"/>
      <w:numFmt w:val="lowerRoman"/>
      <w:lvlText w:val="%3."/>
      <w:lvlJc w:val="right"/>
      <w:pPr>
        <w:ind w:left="8826" w:hanging="180"/>
      </w:pPr>
    </w:lvl>
    <w:lvl w:ilvl="3" w:tplc="240A000F" w:tentative="1">
      <w:start w:val="1"/>
      <w:numFmt w:val="decimal"/>
      <w:lvlText w:val="%4."/>
      <w:lvlJc w:val="left"/>
      <w:pPr>
        <w:ind w:left="9546" w:hanging="360"/>
      </w:pPr>
    </w:lvl>
    <w:lvl w:ilvl="4" w:tplc="240A0019" w:tentative="1">
      <w:start w:val="1"/>
      <w:numFmt w:val="lowerLetter"/>
      <w:lvlText w:val="%5."/>
      <w:lvlJc w:val="left"/>
      <w:pPr>
        <w:ind w:left="10266" w:hanging="360"/>
      </w:pPr>
    </w:lvl>
    <w:lvl w:ilvl="5" w:tplc="240A001B" w:tentative="1">
      <w:start w:val="1"/>
      <w:numFmt w:val="lowerRoman"/>
      <w:lvlText w:val="%6."/>
      <w:lvlJc w:val="right"/>
      <w:pPr>
        <w:ind w:left="10986" w:hanging="180"/>
      </w:pPr>
    </w:lvl>
    <w:lvl w:ilvl="6" w:tplc="240A000F" w:tentative="1">
      <w:start w:val="1"/>
      <w:numFmt w:val="decimal"/>
      <w:lvlText w:val="%7."/>
      <w:lvlJc w:val="left"/>
      <w:pPr>
        <w:ind w:left="11706" w:hanging="360"/>
      </w:pPr>
    </w:lvl>
    <w:lvl w:ilvl="7" w:tplc="240A0019" w:tentative="1">
      <w:start w:val="1"/>
      <w:numFmt w:val="lowerLetter"/>
      <w:lvlText w:val="%8."/>
      <w:lvlJc w:val="left"/>
      <w:pPr>
        <w:ind w:left="12426" w:hanging="360"/>
      </w:pPr>
    </w:lvl>
    <w:lvl w:ilvl="8" w:tplc="240A001B" w:tentative="1">
      <w:start w:val="1"/>
      <w:numFmt w:val="lowerRoman"/>
      <w:lvlText w:val="%9."/>
      <w:lvlJc w:val="right"/>
      <w:pPr>
        <w:ind w:left="13146" w:hanging="180"/>
      </w:pPr>
    </w:lvl>
  </w:abstractNum>
  <w:abstractNum w:abstractNumId="28" w15:restartNumberingAfterBreak="0">
    <w:nsid w:val="41F059D6"/>
    <w:multiLevelType w:val="multilevel"/>
    <w:tmpl w:val="74C2C0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43C74A6"/>
    <w:multiLevelType w:val="multilevel"/>
    <w:tmpl w:val="B7E66982"/>
    <w:lvl w:ilvl="0">
      <w:start w:val="1"/>
      <w:numFmt w:val="decimal"/>
      <w:pStyle w:val="Captulo5"/>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FC33E2"/>
    <w:multiLevelType w:val="multilevel"/>
    <w:tmpl w:val="61AC9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6A84F0B"/>
    <w:multiLevelType w:val="hybridMultilevel"/>
    <w:tmpl w:val="324613EC"/>
    <w:lvl w:ilvl="0" w:tplc="E90891EE">
      <w:start w:val="1"/>
      <w:numFmt w:val="upperLetter"/>
      <w:lvlText w:val="%1."/>
      <w:lvlJc w:val="left"/>
      <w:pPr>
        <w:ind w:left="720" w:hanging="360"/>
      </w:pPr>
    </w:lvl>
    <w:lvl w:ilvl="1" w:tplc="C1F8FBEC" w:tentative="1">
      <w:start w:val="1"/>
      <w:numFmt w:val="bullet"/>
      <w:lvlText w:val="o"/>
      <w:lvlJc w:val="left"/>
      <w:pPr>
        <w:ind w:left="1440" w:hanging="360"/>
      </w:pPr>
      <w:rPr>
        <w:rFonts w:ascii="Courier New" w:hAnsi="Courier New" w:hint="default"/>
      </w:rPr>
    </w:lvl>
    <w:lvl w:ilvl="2" w:tplc="257414B4" w:tentative="1">
      <w:start w:val="1"/>
      <w:numFmt w:val="bullet"/>
      <w:lvlText w:val=""/>
      <w:lvlJc w:val="left"/>
      <w:pPr>
        <w:ind w:left="2160" w:hanging="360"/>
      </w:pPr>
      <w:rPr>
        <w:rFonts w:ascii="Wingdings" w:hAnsi="Wingdings" w:hint="default"/>
      </w:rPr>
    </w:lvl>
    <w:lvl w:ilvl="3" w:tplc="8F9A7264" w:tentative="1">
      <w:start w:val="1"/>
      <w:numFmt w:val="bullet"/>
      <w:lvlText w:val=""/>
      <w:lvlJc w:val="left"/>
      <w:pPr>
        <w:ind w:left="2880" w:hanging="360"/>
      </w:pPr>
      <w:rPr>
        <w:rFonts w:ascii="Symbol" w:hAnsi="Symbol" w:hint="default"/>
      </w:rPr>
    </w:lvl>
    <w:lvl w:ilvl="4" w:tplc="CECE2EB8" w:tentative="1">
      <w:start w:val="1"/>
      <w:numFmt w:val="bullet"/>
      <w:lvlText w:val="o"/>
      <w:lvlJc w:val="left"/>
      <w:pPr>
        <w:ind w:left="3600" w:hanging="360"/>
      </w:pPr>
      <w:rPr>
        <w:rFonts w:ascii="Courier New" w:hAnsi="Courier New" w:hint="default"/>
      </w:rPr>
    </w:lvl>
    <w:lvl w:ilvl="5" w:tplc="CB4A7828" w:tentative="1">
      <w:start w:val="1"/>
      <w:numFmt w:val="bullet"/>
      <w:lvlText w:val=""/>
      <w:lvlJc w:val="left"/>
      <w:pPr>
        <w:ind w:left="4320" w:hanging="360"/>
      </w:pPr>
      <w:rPr>
        <w:rFonts w:ascii="Wingdings" w:hAnsi="Wingdings" w:hint="default"/>
      </w:rPr>
    </w:lvl>
    <w:lvl w:ilvl="6" w:tplc="FCD2A59C" w:tentative="1">
      <w:start w:val="1"/>
      <w:numFmt w:val="bullet"/>
      <w:lvlText w:val=""/>
      <w:lvlJc w:val="left"/>
      <w:pPr>
        <w:ind w:left="5040" w:hanging="360"/>
      </w:pPr>
      <w:rPr>
        <w:rFonts w:ascii="Symbol" w:hAnsi="Symbol" w:hint="default"/>
      </w:rPr>
    </w:lvl>
    <w:lvl w:ilvl="7" w:tplc="CBCCE8E0" w:tentative="1">
      <w:start w:val="1"/>
      <w:numFmt w:val="bullet"/>
      <w:lvlText w:val="o"/>
      <w:lvlJc w:val="left"/>
      <w:pPr>
        <w:ind w:left="5760" w:hanging="360"/>
      </w:pPr>
      <w:rPr>
        <w:rFonts w:ascii="Courier New" w:hAnsi="Courier New" w:hint="default"/>
      </w:rPr>
    </w:lvl>
    <w:lvl w:ilvl="8" w:tplc="7CC2BD10" w:tentative="1">
      <w:start w:val="1"/>
      <w:numFmt w:val="bullet"/>
      <w:lvlText w:val=""/>
      <w:lvlJc w:val="left"/>
      <w:pPr>
        <w:ind w:left="6480" w:hanging="360"/>
      </w:pPr>
      <w:rPr>
        <w:rFonts w:ascii="Wingdings" w:hAnsi="Wingdings" w:hint="default"/>
      </w:rPr>
    </w:lvl>
  </w:abstractNum>
  <w:abstractNum w:abstractNumId="32" w15:restartNumberingAfterBreak="0">
    <w:nsid w:val="4975567D"/>
    <w:multiLevelType w:val="multilevel"/>
    <w:tmpl w:val="61C8A3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BDC0906"/>
    <w:multiLevelType w:val="hybridMultilevel"/>
    <w:tmpl w:val="62303AC0"/>
    <w:lvl w:ilvl="0" w:tplc="2A7641B6">
      <w:start w:val="1"/>
      <w:numFmt w:val="upperLetter"/>
      <w:lvlText w:val="%1."/>
      <w:lvlJc w:val="left"/>
      <w:pPr>
        <w:ind w:left="720" w:hanging="360"/>
      </w:pPr>
      <w:rPr>
        <w:rFonts w:ascii="Arial" w:hAnsi="Arial" w:hint="default"/>
        <w:b w:val="0"/>
        <w:bCs w:val="0"/>
        <w:sz w:val="20"/>
        <w:szCs w:val="20"/>
      </w:rPr>
    </w:lvl>
    <w:lvl w:ilvl="1" w:tplc="5D5C1EAC">
      <w:start w:val="1"/>
      <w:numFmt w:val="lowerLetter"/>
      <w:lvlText w:val="%2."/>
      <w:lvlJc w:val="left"/>
      <w:pPr>
        <w:ind w:left="1440" w:hanging="360"/>
      </w:pPr>
    </w:lvl>
    <w:lvl w:ilvl="2" w:tplc="1F7AECF8">
      <w:start w:val="1"/>
      <w:numFmt w:val="lowerRoman"/>
      <w:lvlText w:val="%3."/>
      <w:lvlJc w:val="right"/>
      <w:pPr>
        <w:ind w:left="2160" w:hanging="180"/>
      </w:pPr>
    </w:lvl>
    <w:lvl w:ilvl="3" w:tplc="7A3859C0">
      <w:start w:val="1"/>
      <w:numFmt w:val="decimal"/>
      <w:lvlText w:val="%4."/>
      <w:lvlJc w:val="left"/>
      <w:pPr>
        <w:ind w:left="2880" w:hanging="360"/>
      </w:pPr>
    </w:lvl>
    <w:lvl w:ilvl="4" w:tplc="7B18A51A">
      <w:start w:val="1"/>
      <w:numFmt w:val="lowerLetter"/>
      <w:lvlText w:val="%5."/>
      <w:lvlJc w:val="left"/>
      <w:pPr>
        <w:ind w:left="3600" w:hanging="360"/>
      </w:pPr>
    </w:lvl>
    <w:lvl w:ilvl="5" w:tplc="6492D108">
      <w:start w:val="1"/>
      <w:numFmt w:val="lowerRoman"/>
      <w:lvlText w:val="%6."/>
      <w:lvlJc w:val="right"/>
      <w:pPr>
        <w:ind w:left="4320" w:hanging="180"/>
      </w:pPr>
    </w:lvl>
    <w:lvl w:ilvl="6" w:tplc="AEBA937C">
      <w:start w:val="1"/>
      <w:numFmt w:val="decimal"/>
      <w:lvlText w:val="%7."/>
      <w:lvlJc w:val="left"/>
      <w:pPr>
        <w:ind w:left="5040" w:hanging="360"/>
      </w:pPr>
    </w:lvl>
    <w:lvl w:ilvl="7" w:tplc="7C86AA74">
      <w:start w:val="1"/>
      <w:numFmt w:val="lowerLetter"/>
      <w:lvlText w:val="%8."/>
      <w:lvlJc w:val="left"/>
      <w:pPr>
        <w:ind w:left="5760" w:hanging="360"/>
      </w:pPr>
    </w:lvl>
    <w:lvl w:ilvl="8" w:tplc="C41E3B2E">
      <w:start w:val="1"/>
      <w:numFmt w:val="lowerRoman"/>
      <w:lvlText w:val="%9."/>
      <w:lvlJc w:val="right"/>
      <w:pPr>
        <w:ind w:left="6480" w:hanging="180"/>
      </w:pPr>
    </w:lvl>
  </w:abstractNum>
  <w:abstractNum w:abstractNumId="34" w15:restartNumberingAfterBreak="0">
    <w:nsid w:val="56497EAA"/>
    <w:multiLevelType w:val="hybridMultilevel"/>
    <w:tmpl w:val="48008C88"/>
    <w:lvl w:ilvl="0" w:tplc="5ED44E48">
      <w:start w:val="1"/>
      <w:numFmt w:val="bullet"/>
      <w:lvlText w:val="-"/>
      <w:lvlJc w:val="left"/>
      <w:pPr>
        <w:ind w:left="720" w:hanging="360"/>
      </w:pPr>
      <w:rPr>
        <w:rFonts w:ascii="Arial" w:hAnsi="Arial" w:hint="default"/>
      </w:rPr>
    </w:lvl>
    <w:lvl w:ilvl="1" w:tplc="91EC73FC" w:tentative="1">
      <w:start w:val="1"/>
      <w:numFmt w:val="bullet"/>
      <w:lvlText w:val="o"/>
      <w:lvlJc w:val="left"/>
      <w:pPr>
        <w:ind w:left="1440" w:hanging="360"/>
      </w:pPr>
      <w:rPr>
        <w:rFonts w:ascii="Courier New" w:hAnsi="Courier New" w:hint="default"/>
      </w:rPr>
    </w:lvl>
    <w:lvl w:ilvl="2" w:tplc="E9C271A8" w:tentative="1">
      <w:start w:val="1"/>
      <w:numFmt w:val="bullet"/>
      <w:lvlText w:val=""/>
      <w:lvlJc w:val="left"/>
      <w:pPr>
        <w:ind w:left="2160" w:hanging="360"/>
      </w:pPr>
      <w:rPr>
        <w:rFonts w:ascii="Wingdings" w:hAnsi="Wingdings" w:hint="default"/>
      </w:rPr>
    </w:lvl>
    <w:lvl w:ilvl="3" w:tplc="A628FD0A" w:tentative="1">
      <w:start w:val="1"/>
      <w:numFmt w:val="bullet"/>
      <w:lvlText w:val=""/>
      <w:lvlJc w:val="left"/>
      <w:pPr>
        <w:ind w:left="2880" w:hanging="360"/>
      </w:pPr>
      <w:rPr>
        <w:rFonts w:ascii="Symbol" w:hAnsi="Symbol" w:hint="default"/>
      </w:rPr>
    </w:lvl>
    <w:lvl w:ilvl="4" w:tplc="199A8B7C" w:tentative="1">
      <w:start w:val="1"/>
      <w:numFmt w:val="bullet"/>
      <w:lvlText w:val="o"/>
      <w:lvlJc w:val="left"/>
      <w:pPr>
        <w:ind w:left="3600" w:hanging="360"/>
      </w:pPr>
      <w:rPr>
        <w:rFonts w:ascii="Courier New" w:hAnsi="Courier New" w:hint="default"/>
      </w:rPr>
    </w:lvl>
    <w:lvl w:ilvl="5" w:tplc="7ADE30E6" w:tentative="1">
      <w:start w:val="1"/>
      <w:numFmt w:val="bullet"/>
      <w:lvlText w:val=""/>
      <w:lvlJc w:val="left"/>
      <w:pPr>
        <w:ind w:left="4320" w:hanging="360"/>
      </w:pPr>
      <w:rPr>
        <w:rFonts w:ascii="Wingdings" w:hAnsi="Wingdings" w:hint="default"/>
      </w:rPr>
    </w:lvl>
    <w:lvl w:ilvl="6" w:tplc="64DCA6A0" w:tentative="1">
      <w:start w:val="1"/>
      <w:numFmt w:val="bullet"/>
      <w:lvlText w:val=""/>
      <w:lvlJc w:val="left"/>
      <w:pPr>
        <w:ind w:left="5040" w:hanging="360"/>
      </w:pPr>
      <w:rPr>
        <w:rFonts w:ascii="Symbol" w:hAnsi="Symbol" w:hint="default"/>
      </w:rPr>
    </w:lvl>
    <w:lvl w:ilvl="7" w:tplc="B366C98E" w:tentative="1">
      <w:start w:val="1"/>
      <w:numFmt w:val="bullet"/>
      <w:lvlText w:val="o"/>
      <w:lvlJc w:val="left"/>
      <w:pPr>
        <w:ind w:left="5760" w:hanging="360"/>
      </w:pPr>
      <w:rPr>
        <w:rFonts w:ascii="Courier New" w:hAnsi="Courier New" w:hint="default"/>
      </w:rPr>
    </w:lvl>
    <w:lvl w:ilvl="8" w:tplc="EA0ECDEA" w:tentative="1">
      <w:start w:val="1"/>
      <w:numFmt w:val="bullet"/>
      <w:lvlText w:val=""/>
      <w:lvlJc w:val="left"/>
      <w:pPr>
        <w:ind w:left="6480" w:hanging="360"/>
      </w:pPr>
      <w:rPr>
        <w:rFonts w:ascii="Wingdings" w:hAnsi="Wingdings" w:hint="default"/>
      </w:rPr>
    </w:lvl>
  </w:abstractNum>
  <w:abstractNum w:abstractNumId="35" w15:restartNumberingAfterBreak="0">
    <w:nsid w:val="57CC7D9A"/>
    <w:multiLevelType w:val="hybridMultilevel"/>
    <w:tmpl w:val="19A074C4"/>
    <w:lvl w:ilvl="0" w:tplc="240A0015">
      <w:start w:val="1"/>
      <w:numFmt w:val="upperLetter"/>
      <w:lvlText w:val="%1."/>
      <w:lvlJc w:val="left"/>
      <w:pPr>
        <w:ind w:left="720" w:hanging="360"/>
      </w:pPr>
      <w:rPr>
        <w:rFonts w:hint="default"/>
      </w:rPr>
    </w:lvl>
    <w:lvl w:ilvl="1" w:tplc="240A0013">
      <w:start w:val="1"/>
      <w:numFmt w:val="upperRoman"/>
      <w:lvlText w:val="%2."/>
      <w:lvlJc w:val="right"/>
      <w:pPr>
        <w:ind w:left="1440" w:hanging="360"/>
      </w:pPr>
    </w:lvl>
    <w:lvl w:ilvl="2" w:tplc="E2940DEC">
      <w:start w:val="2"/>
      <w:numFmt w:val="lowerLetter"/>
      <w:lvlText w:val="%3."/>
      <w:lvlJc w:val="left"/>
      <w:pPr>
        <w:ind w:left="2340" w:hanging="36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8092A56"/>
    <w:multiLevelType w:val="hybridMultilevel"/>
    <w:tmpl w:val="FDFEA5D8"/>
    <w:lvl w:ilvl="0" w:tplc="240A0013">
      <w:start w:val="1"/>
      <w:numFmt w:val="upperRoman"/>
      <w:lvlText w:val="%1."/>
      <w:lvlJc w:val="righ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abstractNum w:abstractNumId="37" w15:restartNumberingAfterBreak="0">
    <w:nsid w:val="5C445CD1"/>
    <w:multiLevelType w:val="multilevel"/>
    <w:tmpl w:val="FBAEF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CA7322C"/>
    <w:multiLevelType w:val="hybridMultilevel"/>
    <w:tmpl w:val="0B9222E4"/>
    <w:lvl w:ilvl="0" w:tplc="1310C444">
      <w:start w:val="1"/>
      <w:numFmt w:val="bullet"/>
      <w:lvlText w:val=""/>
      <w:lvlJc w:val="left"/>
      <w:pPr>
        <w:ind w:left="1440" w:hanging="360"/>
      </w:pPr>
      <w:rPr>
        <w:rFonts w:ascii="Symbol" w:hAnsi="Symbol" w:hint="default"/>
      </w:rPr>
    </w:lvl>
    <w:lvl w:ilvl="1" w:tplc="FE34C78E" w:tentative="1">
      <w:start w:val="1"/>
      <w:numFmt w:val="bullet"/>
      <w:lvlText w:val="o"/>
      <w:lvlJc w:val="left"/>
      <w:pPr>
        <w:ind w:left="2160" w:hanging="360"/>
      </w:pPr>
      <w:rPr>
        <w:rFonts w:ascii="Courier New" w:hAnsi="Courier New" w:hint="default"/>
      </w:rPr>
    </w:lvl>
    <w:lvl w:ilvl="2" w:tplc="4F8045C0" w:tentative="1">
      <w:start w:val="1"/>
      <w:numFmt w:val="bullet"/>
      <w:lvlText w:val=""/>
      <w:lvlJc w:val="left"/>
      <w:pPr>
        <w:ind w:left="2880" w:hanging="360"/>
      </w:pPr>
      <w:rPr>
        <w:rFonts w:ascii="Wingdings" w:hAnsi="Wingdings" w:hint="default"/>
      </w:rPr>
    </w:lvl>
    <w:lvl w:ilvl="3" w:tplc="23D4ECEC" w:tentative="1">
      <w:start w:val="1"/>
      <w:numFmt w:val="bullet"/>
      <w:lvlText w:val=""/>
      <w:lvlJc w:val="left"/>
      <w:pPr>
        <w:ind w:left="3600" w:hanging="360"/>
      </w:pPr>
      <w:rPr>
        <w:rFonts w:ascii="Symbol" w:hAnsi="Symbol" w:hint="default"/>
      </w:rPr>
    </w:lvl>
    <w:lvl w:ilvl="4" w:tplc="BA4A5414" w:tentative="1">
      <w:start w:val="1"/>
      <w:numFmt w:val="bullet"/>
      <w:lvlText w:val="o"/>
      <w:lvlJc w:val="left"/>
      <w:pPr>
        <w:ind w:left="4320" w:hanging="360"/>
      </w:pPr>
      <w:rPr>
        <w:rFonts w:ascii="Courier New" w:hAnsi="Courier New" w:hint="default"/>
      </w:rPr>
    </w:lvl>
    <w:lvl w:ilvl="5" w:tplc="E4DAFBA0" w:tentative="1">
      <w:start w:val="1"/>
      <w:numFmt w:val="bullet"/>
      <w:lvlText w:val=""/>
      <w:lvlJc w:val="left"/>
      <w:pPr>
        <w:ind w:left="5040" w:hanging="360"/>
      </w:pPr>
      <w:rPr>
        <w:rFonts w:ascii="Wingdings" w:hAnsi="Wingdings" w:hint="default"/>
      </w:rPr>
    </w:lvl>
    <w:lvl w:ilvl="6" w:tplc="C054EDF4" w:tentative="1">
      <w:start w:val="1"/>
      <w:numFmt w:val="bullet"/>
      <w:lvlText w:val=""/>
      <w:lvlJc w:val="left"/>
      <w:pPr>
        <w:ind w:left="5760" w:hanging="360"/>
      </w:pPr>
      <w:rPr>
        <w:rFonts w:ascii="Symbol" w:hAnsi="Symbol" w:hint="default"/>
      </w:rPr>
    </w:lvl>
    <w:lvl w:ilvl="7" w:tplc="681EAC82" w:tentative="1">
      <w:start w:val="1"/>
      <w:numFmt w:val="bullet"/>
      <w:lvlText w:val="o"/>
      <w:lvlJc w:val="left"/>
      <w:pPr>
        <w:ind w:left="6480" w:hanging="360"/>
      </w:pPr>
      <w:rPr>
        <w:rFonts w:ascii="Courier New" w:hAnsi="Courier New" w:hint="default"/>
      </w:rPr>
    </w:lvl>
    <w:lvl w:ilvl="8" w:tplc="9C2A944E" w:tentative="1">
      <w:start w:val="1"/>
      <w:numFmt w:val="bullet"/>
      <w:lvlText w:val=""/>
      <w:lvlJc w:val="left"/>
      <w:pPr>
        <w:ind w:left="7200" w:hanging="360"/>
      </w:pPr>
      <w:rPr>
        <w:rFonts w:ascii="Wingdings" w:hAnsi="Wingdings" w:hint="default"/>
      </w:rPr>
    </w:lvl>
  </w:abstractNum>
  <w:abstractNum w:abstractNumId="39" w15:restartNumberingAfterBreak="0">
    <w:nsid w:val="5EBB7683"/>
    <w:multiLevelType w:val="multilevel"/>
    <w:tmpl w:val="A0823C04"/>
    <w:lvl w:ilvl="0">
      <w:start w:val="2"/>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40" w15:restartNumberingAfterBreak="0">
    <w:nsid w:val="600910C0"/>
    <w:multiLevelType w:val="hybridMultilevel"/>
    <w:tmpl w:val="FFFFFFFF"/>
    <w:lvl w:ilvl="0" w:tplc="A3269144">
      <w:start w:val="1"/>
      <w:numFmt w:val="upperRoman"/>
      <w:lvlText w:val="%1."/>
      <w:lvlJc w:val="right"/>
      <w:pPr>
        <w:ind w:left="720" w:hanging="360"/>
      </w:pPr>
    </w:lvl>
    <w:lvl w:ilvl="1" w:tplc="65782838">
      <w:start w:val="1"/>
      <w:numFmt w:val="lowerLetter"/>
      <w:lvlText w:val="%2."/>
      <w:lvlJc w:val="left"/>
      <w:pPr>
        <w:ind w:left="1440" w:hanging="360"/>
      </w:pPr>
    </w:lvl>
    <w:lvl w:ilvl="2" w:tplc="766EE3C6">
      <w:start w:val="1"/>
      <w:numFmt w:val="lowerRoman"/>
      <w:lvlText w:val="%3."/>
      <w:lvlJc w:val="right"/>
      <w:pPr>
        <w:ind w:left="2160" w:hanging="180"/>
      </w:pPr>
    </w:lvl>
    <w:lvl w:ilvl="3" w:tplc="9E76855C">
      <w:start w:val="1"/>
      <w:numFmt w:val="decimal"/>
      <w:lvlText w:val="%4."/>
      <w:lvlJc w:val="left"/>
      <w:pPr>
        <w:ind w:left="2880" w:hanging="360"/>
      </w:pPr>
    </w:lvl>
    <w:lvl w:ilvl="4" w:tplc="8A5C58F8">
      <w:start w:val="1"/>
      <w:numFmt w:val="lowerLetter"/>
      <w:lvlText w:val="%5."/>
      <w:lvlJc w:val="left"/>
      <w:pPr>
        <w:ind w:left="3600" w:hanging="360"/>
      </w:pPr>
    </w:lvl>
    <w:lvl w:ilvl="5" w:tplc="A0DC8E6C">
      <w:start w:val="1"/>
      <w:numFmt w:val="lowerRoman"/>
      <w:lvlText w:val="%6."/>
      <w:lvlJc w:val="right"/>
      <w:pPr>
        <w:ind w:left="4320" w:hanging="180"/>
      </w:pPr>
    </w:lvl>
    <w:lvl w:ilvl="6" w:tplc="260CE55E">
      <w:start w:val="1"/>
      <w:numFmt w:val="decimal"/>
      <w:lvlText w:val="%7."/>
      <w:lvlJc w:val="left"/>
      <w:pPr>
        <w:ind w:left="5040" w:hanging="360"/>
      </w:pPr>
    </w:lvl>
    <w:lvl w:ilvl="7" w:tplc="0396F3E2">
      <w:start w:val="1"/>
      <w:numFmt w:val="lowerLetter"/>
      <w:lvlText w:val="%8."/>
      <w:lvlJc w:val="left"/>
      <w:pPr>
        <w:ind w:left="5760" w:hanging="360"/>
      </w:pPr>
    </w:lvl>
    <w:lvl w:ilvl="8" w:tplc="CE6EC984">
      <w:start w:val="1"/>
      <w:numFmt w:val="lowerRoman"/>
      <w:lvlText w:val="%9."/>
      <w:lvlJc w:val="right"/>
      <w:pPr>
        <w:ind w:left="6480" w:hanging="180"/>
      </w:pPr>
    </w:lvl>
  </w:abstractNum>
  <w:abstractNum w:abstractNumId="41" w15:restartNumberingAfterBreak="0">
    <w:nsid w:val="60783683"/>
    <w:multiLevelType w:val="multilevel"/>
    <w:tmpl w:val="16DA10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6866F0E"/>
    <w:multiLevelType w:val="hybridMultilevel"/>
    <w:tmpl w:val="D902C4A2"/>
    <w:lvl w:ilvl="0" w:tplc="00C280DE">
      <w:start w:val="1"/>
      <w:numFmt w:val="upperLetter"/>
      <w:lvlText w:val="%1."/>
      <w:lvlJc w:val="left"/>
      <w:pPr>
        <w:ind w:left="720" w:hanging="360"/>
      </w:pPr>
      <w:rPr>
        <w:rFonts w:ascii="Arial" w:hAnsi="Arial" w:hint="default"/>
        <w:b w:val="0"/>
        <w:sz w:val="20"/>
        <w:szCs w:val="20"/>
      </w:rPr>
    </w:lvl>
    <w:lvl w:ilvl="1" w:tplc="632C05BA" w:tentative="1">
      <w:start w:val="1"/>
      <w:numFmt w:val="lowerLetter"/>
      <w:lvlText w:val="%2."/>
      <w:lvlJc w:val="left"/>
      <w:pPr>
        <w:ind w:left="1440" w:hanging="360"/>
      </w:pPr>
    </w:lvl>
    <w:lvl w:ilvl="2" w:tplc="EB62CAB0" w:tentative="1">
      <w:start w:val="1"/>
      <w:numFmt w:val="lowerRoman"/>
      <w:lvlText w:val="%3."/>
      <w:lvlJc w:val="right"/>
      <w:pPr>
        <w:ind w:left="2160" w:hanging="180"/>
      </w:pPr>
    </w:lvl>
    <w:lvl w:ilvl="3" w:tplc="4A66A6A0" w:tentative="1">
      <w:start w:val="1"/>
      <w:numFmt w:val="decimal"/>
      <w:lvlText w:val="%4."/>
      <w:lvlJc w:val="left"/>
      <w:pPr>
        <w:ind w:left="2880" w:hanging="360"/>
      </w:pPr>
    </w:lvl>
    <w:lvl w:ilvl="4" w:tplc="D32E23BC" w:tentative="1">
      <w:start w:val="1"/>
      <w:numFmt w:val="lowerLetter"/>
      <w:lvlText w:val="%5."/>
      <w:lvlJc w:val="left"/>
      <w:pPr>
        <w:ind w:left="3600" w:hanging="360"/>
      </w:pPr>
    </w:lvl>
    <w:lvl w:ilvl="5" w:tplc="27BE038A" w:tentative="1">
      <w:start w:val="1"/>
      <w:numFmt w:val="lowerRoman"/>
      <w:lvlText w:val="%6."/>
      <w:lvlJc w:val="right"/>
      <w:pPr>
        <w:ind w:left="4320" w:hanging="180"/>
      </w:pPr>
    </w:lvl>
    <w:lvl w:ilvl="6" w:tplc="3510FE56" w:tentative="1">
      <w:start w:val="1"/>
      <w:numFmt w:val="decimal"/>
      <w:lvlText w:val="%7."/>
      <w:lvlJc w:val="left"/>
      <w:pPr>
        <w:ind w:left="5040" w:hanging="360"/>
      </w:pPr>
    </w:lvl>
    <w:lvl w:ilvl="7" w:tplc="E8F0CF62" w:tentative="1">
      <w:start w:val="1"/>
      <w:numFmt w:val="lowerLetter"/>
      <w:lvlText w:val="%8."/>
      <w:lvlJc w:val="left"/>
      <w:pPr>
        <w:ind w:left="5760" w:hanging="360"/>
      </w:pPr>
    </w:lvl>
    <w:lvl w:ilvl="8" w:tplc="8A683130" w:tentative="1">
      <w:start w:val="1"/>
      <w:numFmt w:val="lowerRoman"/>
      <w:lvlText w:val="%9."/>
      <w:lvlJc w:val="right"/>
      <w:pPr>
        <w:ind w:left="6480" w:hanging="180"/>
      </w:pPr>
    </w:lvl>
  </w:abstractNum>
  <w:abstractNum w:abstractNumId="43" w15:restartNumberingAfterBreak="0">
    <w:nsid w:val="67A86926"/>
    <w:multiLevelType w:val="hybridMultilevel"/>
    <w:tmpl w:val="58C26EE2"/>
    <w:lvl w:ilvl="0" w:tplc="3656ECAC">
      <w:start w:val="1"/>
      <w:numFmt w:val="upperLetter"/>
      <w:lvlText w:val="%1."/>
      <w:lvlJc w:val="left"/>
      <w:pPr>
        <w:ind w:left="720" w:hanging="360"/>
      </w:pPr>
    </w:lvl>
    <w:lvl w:ilvl="1" w:tplc="38C2D714" w:tentative="1">
      <w:start w:val="1"/>
      <w:numFmt w:val="bullet"/>
      <w:lvlText w:val="o"/>
      <w:lvlJc w:val="left"/>
      <w:pPr>
        <w:ind w:left="1440" w:hanging="360"/>
      </w:pPr>
      <w:rPr>
        <w:rFonts w:ascii="Courier New" w:hAnsi="Courier New" w:hint="default"/>
      </w:rPr>
    </w:lvl>
    <w:lvl w:ilvl="2" w:tplc="C0364B5C" w:tentative="1">
      <w:start w:val="1"/>
      <w:numFmt w:val="bullet"/>
      <w:lvlText w:val=""/>
      <w:lvlJc w:val="left"/>
      <w:pPr>
        <w:ind w:left="2160" w:hanging="360"/>
      </w:pPr>
      <w:rPr>
        <w:rFonts w:ascii="Wingdings" w:hAnsi="Wingdings" w:hint="default"/>
      </w:rPr>
    </w:lvl>
    <w:lvl w:ilvl="3" w:tplc="783ADC20" w:tentative="1">
      <w:start w:val="1"/>
      <w:numFmt w:val="bullet"/>
      <w:lvlText w:val=""/>
      <w:lvlJc w:val="left"/>
      <w:pPr>
        <w:ind w:left="2880" w:hanging="360"/>
      </w:pPr>
      <w:rPr>
        <w:rFonts w:ascii="Symbol" w:hAnsi="Symbol" w:hint="default"/>
      </w:rPr>
    </w:lvl>
    <w:lvl w:ilvl="4" w:tplc="3640ABB8" w:tentative="1">
      <w:start w:val="1"/>
      <w:numFmt w:val="bullet"/>
      <w:lvlText w:val="o"/>
      <w:lvlJc w:val="left"/>
      <w:pPr>
        <w:ind w:left="3600" w:hanging="360"/>
      </w:pPr>
      <w:rPr>
        <w:rFonts w:ascii="Courier New" w:hAnsi="Courier New" w:hint="default"/>
      </w:rPr>
    </w:lvl>
    <w:lvl w:ilvl="5" w:tplc="3E466EE0" w:tentative="1">
      <w:start w:val="1"/>
      <w:numFmt w:val="bullet"/>
      <w:lvlText w:val=""/>
      <w:lvlJc w:val="left"/>
      <w:pPr>
        <w:ind w:left="4320" w:hanging="360"/>
      </w:pPr>
      <w:rPr>
        <w:rFonts w:ascii="Wingdings" w:hAnsi="Wingdings" w:hint="default"/>
      </w:rPr>
    </w:lvl>
    <w:lvl w:ilvl="6" w:tplc="20689568" w:tentative="1">
      <w:start w:val="1"/>
      <w:numFmt w:val="bullet"/>
      <w:lvlText w:val=""/>
      <w:lvlJc w:val="left"/>
      <w:pPr>
        <w:ind w:left="5040" w:hanging="360"/>
      </w:pPr>
      <w:rPr>
        <w:rFonts w:ascii="Symbol" w:hAnsi="Symbol" w:hint="default"/>
      </w:rPr>
    </w:lvl>
    <w:lvl w:ilvl="7" w:tplc="4EB2721A" w:tentative="1">
      <w:start w:val="1"/>
      <w:numFmt w:val="bullet"/>
      <w:lvlText w:val="o"/>
      <w:lvlJc w:val="left"/>
      <w:pPr>
        <w:ind w:left="5760" w:hanging="360"/>
      </w:pPr>
      <w:rPr>
        <w:rFonts w:ascii="Courier New" w:hAnsi="Courier New" w:hint="default"/>
      </w:rPr>
    </w:lvl>
    <w:lvl w:ilvl="8" w:tplc="AAE0F834" w:tentative="1">
      <w:start w:val="1"/>
      <w:numFmt w:val="bullet"/>
      <w:lvlText w:val=""/>
      <w:lvlJc w:val="left"/>
      <w:pPr>
        <w:ind w:left="6480" w:hanging="360"/>
      </w:pPr>
      <w:rPr>
        <w:rFonts w:ascii="Wingdings" w:hAnsi="Wingdings" w:hint="default"/>
      </w:rPr>
    </w:lvl>
  </w:abstractNum>
  <w:abstractNum w:abstractNumId="44" w15:restartNumberingAfterBreak="0">
    <w:nsid w:val="697D39F3"/>
    <w:multiLevelType w:val="multilevel"/>
    <w:tmpl w:val="AD926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BFD29F3"/>
    <w:multiLevelType w:val="hybridMultilevel"/>
    <w:tmpl w:val="FA4A873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6ED1686A"/>
    <w:multiLevelType w:val="hybridMultilevel"/>
    <w:tmpl w:val="76586D72"/>
    <w:lvl w:ilvl="0" w:tplc="202459E4">
      <w:start w:val="1"/>
      <w:numFmt w:val="lowerRoman"/>
      <w:lvlText w:val="%1."/>
      <w:lvlJc w:val="right"/>
      <w:pPr>
        <w:ind w:left="720" w:hanging="360"/>
      </w:pPr>
    </w:lvl>
    <w:lvl w:ilvl="1" w:tplc="EF842B90">
      <w:start w:val="1"/>
      <w:numFmt w:val="lowerLetter"/>
      <w:lvlText w:val="%2."/>
      <w:lvlJc w:val="left"/>
      <w:pPr>
        <w:ind w:left="1440" w:hanging="360"/>
      </w:pPr>
    </w:lvl>
    <w:lvl w:ilvl="2" w:tplc="9A88F142">
      <w:start w:val="1"/>
      <w:numFmt w:val="lowerRoman"/>
      <w:lvlText w:val="%3."/>
      <w:lvlJc w:val="right"/>
      <w:pPr>
        <w:ind w:left="2160" w:hanging="180"/>
      </w:pPr>
    </w:lvl>
    <w:lvl w:ilvl="3" w:tplc="EFAC39FC">
      <w:start w:val="1"/>
      <w:numFmt w:val="decimal"/>
      <w:lvlText w:val="%4."/>
      <w:lvlJc w:val="left"/>
      <w:pPr>
        <w:ind w:left="2880" w:hanging="360"/>
      </w:pPr>
    </w:lvl>
    <w:lvl w:ilvl="4" w:tplc="FCFAC0C4">
      <w:start w:val="1"/>
      <w:numFmt w:val="lowerLetter"/>
      <w:lvlText w:val="%5."/>
      <w:lvlJc w:val="left"/>
      <w:pPr>
        <w:ind w:left="3600" w:hanging="360"/>
      </w:pPr>
    </w:lvl>
    <w:lvl w:ilvl="5" w:tplc="C6AE770C">
      <w:start w:val="1"/>
      <w:numFmt w:val="lowerRoman"/>
      <w:lvlText w:val="%6."/>
      <w:lvlJc w:val="right"/>
      <w:pPr>
        <w:ind w:left="4320" w:hanging="180"/>
      </w:pPr>
    </w:lvl>
    <w:lvl w:ilvl="6" w:tplc="8CDC6C5C">
      <w:start w:val="1"/>
      <w:numFmt w:val="decimal"/>
      <w:lvlText w:val="%7."/>
      <w:lvlJc w:val="left"/>
      <w:pPr>
        <w:ind w:left="5040" w:hanging="360"/>
      </w:pPr>
    </w:lvl>
    <w:lvl w:ilvl="7" w:tplc="A3E04E0E">
      <w:start w:val="1"/>
      <w:numFmt w:val="lowerLetter"/>
      <w:lvlText w:val="%8."/>
      <w:lvlJc w:val="left"/>
      <w:pPr>
        <w:ind w:left="5760" w:hanging="360"/>
      </w:pPr>
    </w:lvl>
    <w:lvl w:ilvl="8" w:tplc="DB222CEE">
      <w:start w:val="1"/>
      <w:numFmt w:val="lowerRoman"/>
      <w:lvlText w:val="%9."/>
      <w:lvlJc w:val="right"/>
      <w:pPr>
        <w:ind w:left="6480" w:hanging="180"/>
      </w:pPr>
    </w:lvl>
  </w:abstractNum>
  <w:abstractNum w:abstractNumId="47" w15:restartNumberingAfterBreak="0">
    <w:nsid w:val="6FB961BD"/>
    <w:multiLevelType w:val="multilevel"/>
    <w:tmpl w:val="A328C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FE85965"/>
    <w:multiLevelType w:val="hybridMultilevel"/>
    <w:tmpl w:val="FC64532E"/>
    <w:lvl w:ilvl="0" w:tplc="AFC6ADA2">
      <w:start w:val="1"/>
      <w:numFmt w:val="decimal"/>
      <w:lvlText w:val="%1."/>
      <w:lvlJc w:val="left"/>
      <w:pPr>
        <w:ind w:left="7022" w:hanging="360"/>
      </w:pPr>
      <w:rPr>
        <w:rFonts w:hint="default"/>
      </w:rPr>
    </w:lvl>
    <w:lvl w:ilvl="1" w:tplc="240A0019">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49" w15:restartNumberingAfterBreak="0">
    <w:nsid w:val="73235894"/>
    <w:multiLevelType w:val="multilevel"/>
    <w:tmpl w:val="C52CBAFC"/>
    <w:lvl w:ilvl="0">
      <w:start w:val="1"/>
      <w:numFmt w:val="bullet"/>
      <w:pStyle w:val="clusulas"/>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0" w15:restartNumberingAfterBreak="0">
    <w:nsid w:val="752966D3"/>
    <w:multiLevelType w:val="multilevel"/>
    <w:tmpl w:val="F4621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6CE1109"/>
    <w:multiLevelType w:val="hybridMultilevel"/>
    <w:tmpl w:val="80DA976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77EF6C33"/>
    <w:multiLevelType w:val="multilevel"/>
    <w:tmpl w:val="61567B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8051AF6"/>
    <w:multiLevelType w:val="multilevel"/>
    <w:tmpl w:val="1102E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907550B"/>
    <w:multiLevelType w:val="hybridMultilevel"/>
    <w:tmpl w:val="EB0CC670"/>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16"/>
  </w:num>
  <w:num w:numId="2">
    <w:abstractNumId w:val="18"/>
  </w:num>
  <w:num w:numId="3">
    <w:abstractNumId w:val="10"/>
  </w:num>
  <w:num w:numId="4">
    <w:abstractNumId w:val="4"/>
  </w:num>
  <w:num w:numId="5">
    <w:abstractNumId w:val="32"/>
  </w:num>
  <w:num w:numId="6">
    <w:abstractNumId w:val="8"/>
  </w:num>
  <w:num w:numId="7">
    <w:abstractNumId w:val="15"/>
  </w:num>
  <w:num w:numId="8">
    <w:abstractNumId w:val="28"/>
  </w:num>
  <w:num w:numId="9">
    <w:abstractNumId w:val="52"/>
  </w:num>
  <w:num w:numId="10">
    <w:abstractNumId w:val="7"/>
  </w:num>
  <w:num w:numId="11">
    <w:abstractNumId w:val="29"/>
  </w:num>
  <w:num w:numId="12">
    <w:abstractNumId w:val="3"/>
  </w:num>
  <w:num w:numId="13">
    <w:abstractNumId w:val="21"/>
  </w:num>
  <w:num w:numId="14">
    <w:abstractNumId w:val="49"/>
  </w:num>
  <w:num w:numId="15">
    <w:abstractNumId w:val="41"/>
  </w:num>
  <w:num w:numId="16">
    <w:abstractNumId w:val="5"/>
  </w:num>
  <w:num w:numId="17">
    <w:abstractNumId w:val="11"/>
  </w:num>
  <w:num w:numId="18">
    <w:abstractNumId w:val="0"/>
  </w:num>
  <w:num w:numId="19">
    <w:abstractNumId w:val="22"/>
  </w:num>
  <w:num w:numId="20">
    <w:abstractNumId w:val="9"/>
  </w:num>
  <w:num w:numId="21">
    <w:abstractNumId w:val="37"/>
  </w:num>
  <w:num w:numId="22">
    <w:abstractNumId w:val="44"/>
  </w:num>
  <w:num w:numId="23">
    <w:abstractNumId w:val="50"/>
  </w:num>
  <w:num w:numId="24">
    <w:abstractNumId w:val="47"/>
  </w:num>
  <w:num w:numId="25">
    <w:abstractNumId w:val="53"/>
  </w:num>
  <w:num w:numId="26">
    <w:abstractNumId w:val="30"/>
  </w:num>
  <w:num w:numId="27">
    <w:abstractNumId w:val="46"/>
  </w:num>
  <w:num w:numId="28">
    <w:abstractNumId w:val="2"/>
  </w:num>
  <w:num w:numId="29">
    <w:abstractNumId w:val="43"/>
  </w:num>
  <w:num w:numId="30">
    <w:abstractNumId w:val="19"/>
  </w:num>
  <w:num w:numId="31">
    <w:abstractNumId w:val="36"/>
  </w:num>
  <w:num w:numId="32">
    <w:abstractNumId w:val="24"/>
  </w:num>
  <w:num w:numId="33">
    <w:abstractNumId w:val="31"/>
  </w:num>
  <w:num w:numId="34">
    <w:abstractNumId w:val="1"/>
  </w:num>
  <w:num w:numId="35">
    <w:abstractNumId w:val="35"/>
  </w:num>
  <w:num w:numId="36">
    <w:abstractNumId w:val="42"/>
  </w:num>
  <w:num w:numId="37">
    <w:abstractNumId w:val="33"/>
  </w:num>
  <w:num w:numId="38">
    <w:abstractNumId w:val="25"/>
  </w:num>
  <w:num w:numId="39">
    <w:abstractNumId w:val="17"/>
  </w:num>
  <w:num w:numId="40">
    <w:abstractNumId w:val="34"/>
  </w:num>
  <w:num w:numId="41">
    <w:abstractNumId w:val="6"/>
  </w:num>
  <w:num w:numId="42">
    <w:abstractNumId w:val="14"/>
  </w:num>
  <w:num w:numId="43">
    <w:abstractNumId w:val="23"/>
  </w:num>
  <w:num w:numId="44">
    <w:abstractNumId w:val="45"/>
  </w:num>
  <w:num w:numId="45">
    <w:abstractNumId w:val="13"/>
  </w:num>
  <w:num w:numId="46">
    <w:abstractNumId w:val="27"/>
  </w:num>
  <w:num w:numId="47">
    <w:abstractNumId w:val="40"/>
  </w:num>
  <w:num w:numId="48">
    <w:abstractNumId w:val="26"/>
  </w:num>
  <w:num w:numId="49">
    <w:abstractNumId w:val="48"/>
  </w:num>
  <w:num w:numId="50">
    <w:abstractNumId w:val="51"/>
  </w:num>
  <w:num w:numId="51">
    <w:abstractNumId w:val="20"/>
  </w:num>
  <w:num w:numId="52">
    <w:abstractNumId w:val="12"/>
  </w:num>
  <w:num w:numId="53">
    <w:abstractNumId w:val="38"/>
  </w:num>
  <w:num w:numId="54">
    <w:abstractNumId w:val="39"/>
  </w:num>
  <w:num w:numId="55">
    <w:abstractNumId w:val="5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086B"/>
    <w:rsid w:val="0001094C"/>
    <w:rsid w:val="00057FA8"/>
    <w:rsid w:val="00060DE7"/>
    <w:rsid w:val="000B75FC"/>
    <w:rsid w:val="00120AD9"/>
    <w:rsid w:val="001243BA"/>
    <w:rsid w:val="00143F11"/>
    <w:rsid w:val="001462BA"/>
    <w:rsid w:val="00194188"/>
    <w:rsid w:val="001A5BB9"/>
    <w:rsid w:val="001C3E26"/>
    <w:rsid w:val="001D3FA2"/>
    <w:rsid w:val="001E2B1A"/>
    <w:rsid w:val="001F4B08"/>
    <w:rsid w:val="0022086B"/>
    <w:rsid w:val="00252FD5"/>
    <w:rsid w:val="002A6D51"/>
    <w:rsid w:val="002D338F"/>
    <w:rsid w:val="00304CA6"/>
    <w:rsid w:val="003544E1"/>
    <w:rsid w:val="00357CE3"/>
    <w:rsid w:val="00376832"/>
    <w:rsid w:val="003922A9"/>
    <w:rsid w:val="00394B80"/>
    <w:rsid w:val="0039548F"/>
    <w:rsid w:val="003F7BD3"/>
    <w:rsid w:val="00404C09"/>
    <w:rsid w:val="00414829"/>
    <w:rsid w:val="0044438F"/>
    <w:rsid w:val="004611CB"/>
    <w:rsid w:val="0046210E"/>
    <w:rsid w:val="00484315"/>
    <w:rsid w:val="004E6223"/>
    <w:rsid w:val="0055252E"/>
    <w:rsid w:val="00584A1F"/>
    <w:rsid w:val="005C04BC"/>
    <w:rsid w:val="005C20F0"/>
    <w:rsid w:val="006047AE"/>
    <w:rsid w:val="006170D7"/>
    <w:rsid w:val="0065443B"/>
    <w:rsid w:val="00657589"/>
    <w:rsid w:val="00687BD6"/>
    <w:rsid w:val="0069424E"/>
    <w:rsid w:val="00694D21"/>
    <w:rsid w:val="006E4D8F"/>
    <w:rsid w:val="00700F36"/>
    <w:rsid w:val="007608EE"/>
    <w:rsid w:val="00915829"/>
    <w:rsid w:val="00963822"/>
    <w:rsid w:val="00980509"/>
    <w:rsid w:val="009B229C"/>
    <w:rsid w:val="009C2815"/>
    <w:rsid w:val="009E0ED2"/>
    <w:rsid w:val="009F7E39"/>
    <w:rsid w:val="00A23238"/>
    <w:rsid w:val="00A61BD6"/>
    <w:rsid w:val="00A7250B"/>
    <w:rsid w:val="00AD1E63"/>
    <w:rsid w:val="00AD54B9"/>
    <w:rsid w:val="00BD7C96"/>
    <w:rsid w:val="00C04C4B"/>
    <w:rsid w:val="00C05364"/>
    <w:rsid w:val="00C174CA"/>
    <w:rsid w:val="00C87AAE"/>
    <w:rsid w:val="00C919C5"/>
    <w:rsid w:val="00CB56B7"/>
    <w:rsid w:val="00CC6703"/>
    <w:rsid w:val="00D023FE"/>
    <w:rsid w:val="00D65841"/>
    <w:rsid w:val="00DF391F"/>
    <w:rsid w:val="00DF4D1E"/>
    <w:rsid w:val="00E072D9"/>
    <w:rsid w:val="00F02D81"/>
    <w:rsid w:val="00F32663"/>
    <w:rsid w:val="00F7791C"/>
    <w:rsid w:val="00F94FF3"/>
    <w:rsid w:val="00FB5B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2AB05"/>
  <w15:docId w15:val="{47072E7C-5BF5-44BB-A512-0C534E865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ind w:left="696"/>
      <w:outlineLvl w:val="0"/>
    </w:pPr>
    <w:rPr>
      <w:b/>
      <w:sz w:val="24"/>
      <w:szCs w:val="24"/>
    </w:rPr>
  </w:style>
  <w:style w:type="paragraph" w:styleId="Ttulo2">
    <w:name w:val="heading 2"/>
    <w:aliases w:val="Capítulos"/>
    <w:basedOn w:val="Normal"/>
    <w:next w:val="Normal"/>
    <w:uiPriority w:val="9"/>
    <w:unhideWhenUsed/>
    <w:qFormat/>
    <w:pPr>
      <w:ind w:left="1416"/>
      <w:outlineLvl w:val="1"/>
    </w:pPr>
    <w:rPr>
      <w:b/>
      <w:sz w:val="24"/>
      <w:szCs w:val="24"/>
    </w:rPr>
  </w:style>
  <w:style w:type="paragraph" w:styleId="Ttulo3">
    <w:name w:val="heading 3"/>
    <w:aliases w:val="Secciones"/>
    <w:basedOn w:val="Normal"/>
    <w:next w:val="Normal"/>
    <w:uiPriority w:val="9"/>
    <w:unhideWhenUsed/>
    <w:qFormat/>
    <w:pPr>
      <w:keepNext/>
      <w:keepLines/>
      <w:spacing w:before="40"/>
      <w:outlineLvl w:val="2"/>
    </w:pPr>
    <w:rPr>
      <w:rFonts w:ascii="Cambria" w:eastAsia="Cambria" w:hAnsi="Cambria" w:cs="Cambria"/>
      <w:color w:val="243F61"/>
      <w:sz w:val="24"/>
      <w:szCs w:val="24"/>
    </w:rPr>
  </w:style>
  <w:style w:type="paragraph" w:styleId="Ttulo4">
    <w:name w:val="heading 4"/>
    <w:basedOn w:val="Normal"/>
    <w:next w:val="Normal"/>
    <w:uiPriority w:val="9"/>
    <w:semiHidden/>
    <w:unhideWhenUsed/>
    <w:qFormat/>
    <w:pPr>
      <w:keepNext/>
      <w:keepLines/>
      <w:widowControl/>
      <w:spacing w:before="40"/>
      <w:outlineLvl w:val="3"/>
    </w:pPr>
    <w:rPr>
      <w:rFonts w:ascii="Cambria" w:eastAsia="Cambria" w:hAnsi="Cambria" w:cs="Cambria"/>
      <w:i/>
      <w:color w:val="366091"/>
      <w:sz w:val="24"/>
      <w:szCs w:val="24"/>
    </w:rPr>
  </w:style>
  <w:style w:type="paragraph" w:styleId="Ttulo5">
    <w:name w:val="heading 5"/>
    <w:basedOn w:val="Normal"/>
    <w:next w:val="Normal"/>
    <w:uiPriority w:val="9"/>
    <w:semiHidden/>
    <w:unhideWhenUsed/>
    <w:qFormat/>
    <w:pPr>
      <w:keepNext/>
      <w:keepLines/>
      <w:widowControl/>
      <w:spacing w:before="40"/>
      <w:outlineLvl w:val="4"/>
    </w:pPr>
    <w:rPr>
      <w:rFonts w:ascii="Cambria" w:eastAsia="Cambria" w:hAnsi="Cambria" w:cs="Cambria"/>
      <w:color w:val="366091"/>
      <w:sz w:val="24"/>
      <w:szCs w:val="24"/>
    </w:rPr>
  </w:style>
  <w:style w:type="paragraph" w:styleId="Ttulo6">
    <w:name w:val="heading 6"/>
    <w:basedOn w:val="Normal"/>
    <w:next w:val="Normal"/>
    <w:uiPriority w:val="9"/>
    <w:semiHidden/>
    <w:unhideWhenUsed/>
    <w:qFormat/>
    <w:pPr>
      <w:keepNext/>
      <w:keepLines/>
      <w:widowControl/>
      <w:spacing w:before="40"/>
      <w:outlineLvl w:val="5"/>
    </w:pPr>
    <w:rPr>
      <w:rFonts w:ascii="Cambria" w:eastAsia="Cambria" w:hAnsi="Cambria" w:cs="Cambria"/>
      <w:color w:val="243F61"/>
      <w:sz w:val="24"/>
      <w:szCs w:val="24"/>
    </w:rPr>
  </w:style>
  <w:style w:type="paragraph" w:styleId="Ttulo7">
    <w:name w:val="heading 7"/>
    <w:basedOn w:val="Normal"/>
    <w:next w:val="Normal"/>
    <w:link w:val="Ttulo7Car"/>
    <w:uiPriority w:val="9"/>
    <w:semiHidden/>
    <w:unhideWhenUsed/>
    <w:qFormat/>
    <w:rsid w:val="00F11A33"/>
    <w:pPr>
      <w:keepNext/>
      <w:keepLines/>
      <w:widowControl/>
      <w:spacing w:before="40"/>
      <w:outlineLvl w:val="6"/>
    </w:pPr>
    <w:rPr>
      <w:rFonts w:asciiTheme="majorHAnsi" w:eastAsiaTheme="majorEastAsia" w:hAnsiTheme="majorHAnsi" w:cstheme="majorBidi"/>
      <w:i/>
      <w:iCs/>
      <w:color w:val="243F60" w:themeColor="accent1" w:themeShade="7F"/>
      <w:sz w:val="24"/>
      <w:szCs w:val="24"/>
      <w:lang w:val="es-CO"/>
    </w:rPr>
  </w:style>
  <w:style w:type="paragraph" w:styleId="Ttulo8">
    <w:name w:val="heading 8"/>
    <w:basedOn w:val="Normal"/>
    <w:next w:val="Normal"/>
    <w:link w:val="Ttulo8Car"/>
    <w:uiPriority w:val="9"/>
    <w:semiHidden/>
    <w:unhideWhenUsed/>
    <w:qFormat/>
    <w:rsid w:val="00F11A33"/>
    <w:pPr>
      <w:keepNext/>
      <w:keepLines/>
      <w:widowControl/>
      <w:spacing w:before="40"/>
      <w:outlineLvl w:val="7"/>
    </w:pPr>
    <w:rPr>
      <w:rFonts w:asciiTheme="majorHAnsi" w:eastAsiaTheme="majorEastAsia" w:hAnsiTheme="majorHAnsi" w:cstheme="majorBidi"/>
      <w:color w:val="272727" w:themeColor="text1" w:themeTint="D8"/>
      <w:sz w:val="21"/>
      <w:szCs w:val="21"/>
      <w:lang w:val="es-CO"/>
    </w:rPr>
  </w:style>
  <w:style w:type="paragraph" w:styleId="Ttulo9">
    <w:name w:val="heading 9"/>
    <w:basedOn w:val="Normal"/>
    <w:next w:val="Normal"/>
    <w:link w:val="Ttulo9Car"/>
    <w:uiPriority w:val="9"/>
    <w:semiHidden/>
    <w:unhideWhenUsed/>
    <w:qFormat/>
    <w:rsid w:val="00F11A33"/>
    <w:pPr>
      <w:keepNext/>
      <w:keepLines/>
      <w:widowControl/>
      <w:spacing w:before="40"/>
      <w:outlineLvl w:val="8"/>
    </w:pPr>
    <w:rPr>
      <w:rFonts w:asciiTheme="majorHAnsi" w:eastAsiaTheme="majorEastAsia" w:hAnsiTheme="majorHAnsi" w:cstheme="majorBidi"/>
      <w:i/>
      <w:iCs/>
      <w:color w:val="272727" w:themeColor="text1" w:themeTint="D8"/>
      <w:sz w:val="21"/>
      <w:szCs w:val="21"/>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pPr>
      <w:ind w:left="696"/>
      <w:jc w:val="both"/>
    </w:pPr>
    <w:rPr>
      <w:sz w:val="24"/>
      <w:szCs w:val="24"/>
    </w:rPr>
  </w:style>
  <w:style w:type="paragraph" w:styleId="Prrafodelista">
    <w:name w:val="List Paragraph"/>
    <w:aliases w:val="Fotografía,Bullet List,FooterText,numbered,Paragraphe de liste1,lp1,Scitum normal,HOJA,Bolita,Párrafo de lista4,BOLADEF,Párrafo de lista3,Párrafo de lista21,BOLA,Nivel 1 OS,Colorful List Accent 1,List Paragraph1,Foot,TITULO 2_CR,Ha,H"/>
    <w:basedOn w:val="Normal"/>
    <w:link w:val="PrrafodelistaCar"/>
    <w:uiPriority w:val="34"/>
    <w:qFormat/>
    <w:pPr>
      <w:ind w:left="1416" w:hanging="361"/>
      <w:jc w:val="both"/>
    </w:pPr>
  </w:style>
  <w:style w:type="paragraph" w:customStyle="1" w:styleId="TableParagraph">
    <w:name w:val="Table Paragraph"/>
    <w:basedOn w:val="Normal"/>
    <w:uiPriority w:val="1"/>
    <w:qFormat/>
  </w:style>
  <w:style w:type="paragraph" w:styleId="Encabezado">
    <w:name w:val="header"/>
    <w:aliases w:val="h,h8,h9,h10,h18"/>
    <w:basedOn w:val="Normal"/>
    <w:link w:val="EncabezadoCar"/>
    <w:uiPriority w:val="99"/>
    <w:unhideWhenUsed/>
    <w:rsid w:val="00D662DB"/>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D662DB"/>
    <w:rPr>
      <w:rFonts w:ascii="Times New Roman" w:eastAsia="Times New Roman" w:hAnsi="Times New Roman" w:cs="Times New Roman"/>
      <w:lang w:val="es-ES"/>
    </w:rPr>
  </w:style>
  <w:style w:type="paragraph" w:styleId="Piedepgina">
    <w:name w:val="footer"/>
    <w:basedOn w:val="Normal"/>
    <w:link w:val="PiedepginaCar"/>
    <w:uiPriority w:val="99"/>
    <w:unhideWhenUsed/>
    <w:rsid w:val="00D662DB"/>
    <w:pPr>
      <w:tabs>
        <w:tab w:val="center" w:pos="4419"/>
        <w:tab w:val="right" w:pos="8838"/>
      </w:tabs>
    </w:pPr>
  </w:style>
  <w:style w:type="character" w:customStyle="1" w:styleId="PiedepginaCar">
    <w:name w:val="Pie de página Car"/>
    <w:basedOn w:val="Fuentedeprrafopredeter"/>
    <w:link w:val="Piedepgina"/>
    <w:uiPriority w:val="99"/>
    <w:rsid w:val="00D662DB"/>
    <w:rPr>
      <w:rFonts w:ascii="Times New Roman" w:eastAsia="Times New Roman" w:hAnsi="Times New Roman" w:cs="Times New Roman"/>
      <w:lang w:val="es-ES"/>
    </w:rPr>
  </w:style>
  <w:style w:type="paragraph" w:customStyle="1" w:styleId="Standard">
    <w:name w:val="Standard"/>
    <w:link w:val="StandardCar"/>
    <w:qFormat/>
    <w:rsid w:val="00A35D49"/>
    <w:pPr>
      <w:widowControl/>
      <w:suppressAutoHyphens/>
      <w:textAlignment w:val="baseline"/>
    </w:pPr>
    <w:rPr>
      <w:kern w:val="3"/>
      <w:sz w:val="20"/>
      <w:szCs w:val="20"/>
      <w:lang w:val="es-CO" w:eastAsia="zh-CN"/>
    </w:rPr>
  </w:style>
  <w:style w:type="character" w:customStyle="1" w:styleId="StandardCar">
    <w:name w:val="Standard Car"/>
    <w:link w:val="Standard"/>
    <w:locked/>
    <w:rsid w:val="00A35D49"/>
    <w:rPr>
      <w:rFonts w:ascii="Times New Roman" w:eastAsia="Times New Roman" w:hAnsi="Times New Roman" w:cs="Times New Roman"/>
      <w:kern w:val="3"/>
      <w:sz w:val="20"/>
      <w:szCs w:val="20"/>
      <w:lang w:val="es-CO" w:eastAsia="zh-CN"/>
    </w:rPr>
  </w:style>
  <w:style w:type="character" w:styleId="Hipervnculo">
    <w:name w:val="Hyperlink"/>
    <w:basedOn w:val="Fuentedeprrafopredeter"/>
    <w:uiPriority w:val="99"/>
    <w:unhideWhenUsed/>
    <w:rsid w:val="00A35D49"/>
    <w:rPr>
      <w:color w:val="0000FF" w:themeColor="hyperlink"/>
      <w:u w:val="single"/>
    </w:rPr>
  </w:style>
  <w:style w:type="character" w:customStyle="1" w:styleId="Ttulo3Car">
    <w:name w:val="Título 3 Car"/>
    <w:aliases w:val="Secciones Car"/>
    <w:basedOn w:val="Fuentedeprrafopredeter"/>
    <w:uiPriority w:val="9"/>
    <w:rsid w:val="00F11A33"/>
    <w:rPr>
      <w:rFonts w:asciiTheme="majorHAnsi" w:eastAsiaTheme="majorEastAsia" w:hAnsiTheme="majorHAnsi" w:cs="Mangal"/>
      <w:color w:val="243F60" w:themeColor="accent1" w:themeShade="7F"/>
      <w:kern w:val="3"/>
      <w:sz w:val="24"/>
      <w:szCs w:val="21"/>
      <w:lang w:val="es-CO" w:eastAsia="zh-CN" w:bidi="hi-IN"/>
    </w:rPr>
  </w:style>
  <w:style w:type="character" w:customStyle="1" w:styleId="Ttulo4Car">
    <w:name w:val="Título 4 Car"/>
    <w:basedOn w:val="Fuentedeprrafopredeter"/>
    <w:uiPriority w:val="9"/>
    <w:semiHidden/>
    <w:rsid w:val="00F11A33"/>
    <w:rPr>
      <w:rFonts w:asciiTheme="majorHAnsi" w:eastAsiaTheme="majorEastAsia" w:hAnsiTheme="majorHAnsi" w:cstheme="majorBidi"/>
      <w:i/>
      <w:iCs/>
      <w:color w:val="365F91" w:themeColor="accent1" w:themeShade="BF"/>
      <w:sz w:val="24"/>
      <w:szCs w:val="24"/>
      <w:lang w:val="es-CO" w:eastAsia="es-CO"/>
    </w:rPr>
  </w:style>
  <w:style w:type="character" w:customStyle="1" w:styleId="Ttulo5Car">
    <w:name w:val="Título 5 Car"/>
    <w:basedOn w:val="Fuentedeprrafopredeter"/>
    <w:uiPriority w:val="9"/>
    <w:semiHidden/>
    <w:rsid w:val="00F11A33"/>
    <w:rPr>
      <w:rFonts w:asciiTheme="majorHAnsi" w:eastAsiaTheme="majorEastAsia" w:hAnsiTheme="majorHAnsi" w:cstheme="majorBidi"/>
      <w:color w:val="365F91" w:themeColor="accent1" w:themeShade="BF"/>
      <w:sz w:val="24"/>
      <w:szCs w:val="24"/>
      <w:lang w:val="es-CO" w:eastAsia="es-CO"/>
    </w:rPr>
  </w:style>
  <w:style w:type="character" w:customStyle="1" w:styleId="Ttulo6Car">
    <w:name w:val="Título 6 Car"/>
    <w:basedOn w:val="Fuentedeprrafopredeter"/>
    <w:uiPriority w:val="9"/>
    <w:semiHidden/>
    <w:rsid w:val="00F11A33"/>
    <w:rPr>
      <w:rFonts w:asciiTheme="majorHAnsi" w:eastAsiaTheme="majorEastAsia" w:hAnsiTheme="majorHAnsi" w:cstheme="majorBidi"/>
      <w:color w:val="243F60" w:themeColor="accent1" w:themeShade="7F"/>
      <w:sz w:val="24"/>
      <w:szCs w:val="24"/>
      <w:lang w:val="es-CO" w:eastAsia="es-CO"/>
    </w:rPr>
  </w:style>
  <w:style w:type="character" w:customStyle="1" w:styleId="Ttulo7Car">
    <w:name w:val="Título 7 Car"/>
    <w:basedOn w:val="Fuentedeprrafopredeter"/>
    <w:link w:val="Ttulo7"/>
    <w:uiPriority w:val="9"/>
    <w:semiHidden/>
    <w:rsid w:val="00F11A33"/>
    <w:rPr>
      <w:rFonts w:asciiTheme="majorHAnsi" w:eastAsiaTheme="majorEastAsia" w:hAnsiTheme="majorHAnsi" w:cstheme="majorBidi"/>
      <w:i/>
      <w:iCs/>
      <w:color w:val="243F60" w:themeColor="accent1" w:themeShade="7F"/>
      <w:sz w:val="24"/>
      <w:szCs w:val="24"/>
      <w:lang w:val="es-CO" w:eastAsia="es-CO"/>
    </w:rPr>
  </w:style>
  <w:style w:type="character" w:customStyle="1" w:styleId="Ttulo8Car">
    <w:name w:val="Título 8 Car"/>
    <w:basedOn w:val="Fuentedeprrafopredeter"/>
    <w:link w:val="Ttulo8"/>
    <w:uiPriority w:val="9"/>
    <w:semiHidden/>
    <w:rsid w:val="00F11A33"/>
    <w:rPr>
      <w:rFonts w:asciiTheme="majorHAnsi" w:eastAsiaTheme="majorEastAsia" w:hAnsiTheme="majorHAnsi" w:cstheme="majorBidi"/>
      <w:color w:val="272727" w:themeColor="text1" w:themeTint="D8"/>
      <w:sz w:val="21"/>
      <w:szCs w:val="21"/>
      <w:lang w:val="es-CO" w:eastAsia="es-CO"/>
    </w:rPr>
  </w:style>
  <w:style w:type="character" w:customStyle="1" w:styleId="Ttulo9Car">
    <w:name w:val="Título 9 Car"/>
    <w:basedOn w:val="Fuentedeprrafopredeter"/>
    <w:link w:val="Ttulo9"/>
    <w:uiPriority w:val="9"/>
    <w:semiHidden/>
    <w:rsid w:val="00F11A33"/>
    <w:rPr>
      <w:rFonts w:asciiTheme="majorHAnsi" w:eastAsiaTheme="majorEastAsia" w:hAnsiTheme="majorHAnsi" w:cstheme="majorBidi"/>
      <w:i/>
      <w:iCs/>
      <w:color w:val="272727" w:themeColor="text1" w:themeTint="D8"/>
      <w:sz w:val="21"/>
      <w:szCs w:val="21"/>
      <w:lang w:val="es-CO" w:eastAsia="es-CO"/>
    </w:rPr>
  </w:style>
  <w:style w:type="character" w:customStyle="1" w:styleId="Ttulo1Car">
    <w:name w:val="Título 1 Car"/>
    <w:uiPriority w:val="9"/>
    <w:rsid w:val="00F11A33"/>
    <w:rPr>
      <w:rFonts w:ascii="Times New Roman" w:eastAsia="Times New Roman" w:hAnsi="Times New Roman" w:cs="Times New Roman"/>
      <w:b/>
      <w:bCs/>
      <w:sz w:val="24"/>
      <w:szCs w:val="24"/>
      <w:lang w:val="es-ES"/>
    </w:rPr>
  </w:style>
  <w:style w:type="paragraph" w:customStyle="1" w:styleId="Heading">
    <w:name w:val="Heading"/>
    <w:basedOn w:val="Normal"/>
    <w:rsid w:val="00F11A33"/>
    <w:pPr>
      <w:tabs>
        <w:tab w:val="center" w:pos="4419"/>
        <w:tab w:val="right" w:pos="8838"/>
      </w:tabs>
      <w:suppressAutoHyphens/>
      <w:textAlignment w:val="baseline"/>
    </w:pPr>
    <w:rPr>
      <w:rFonts w:cs="Mangal"/>
      <w:kern w:val="3"/>
      <w:sz w:val="24"/>
      <w:szCs w:val="21"/>
      <w:lang w:val="es-CO" w:eastAsia="zh-CN" w:bidi="hi-IN"/>
    </w:rPr>
  </w:style>
  <w:style w:type="paragraph" w:customStyle="1" w:styleId="Textbody">
    <w:name w:val="Text body"/>
    <w:basedOn w:val="Standard"/>
    <w:rsid w:val="00F11A33"/>
    <w:pPr>
      <w:spacing w:line="360" w:lineRule="auto"/>
      <w:jc w:val="both"/>
    </w:pPr>
    <w:rPr>
      <w:rFonts w:ascii="Arial" w:hAnsi="Arial" w:cs="Arial"/>
      <w:sz w:val="24"/>
      <w:szCs w:val="24"/>
    </w:rPr>
  </w:style>
  <w:style w:type="paragraph" w:styleId="Lista">
    <w:name w:val="List"/>
    <w:basedOn w:val="Textbody"/>
    <w:uiPriority w:val="99"/>
    <w:rsid w:val="00F11A33"/>
    <w:rPr>
      <w:rFonts w:cs="Lohit Hindi"/>
    </w:rPr>
  </w:style>
  <w:style w:type="paragraph" w:customStyle="1" w:styleId="Descripcin1">
    <w:name w:val="Descripción1"/>
    <w:basedOn w:val="Standard"/>
    <w:uiPriority w:val="35"/>
    <w:rsid w:val="00F11A33"/>
    <w:pPr>
      <w:suppressLineNumbers/>
      <w:spacing w:before="120" w:after="120"/>
    </w:pPr>
    <w:rPr>
      <w:rFonts w:cs="Lohit Hindi"/>
      <w:i/>
      <w:iCs/>
      <w:sz w:val="24"/>
      <w:szCs w:val="24"/>
    </w:rPr>
  </w:style>
  <w:style w:type="paragraph" w:customStyle="1" w:styleId="Index">
    <w:name w:val="Index"/>
    <w:basedOn w:val="Standard"/>
    <w:rsid w:val="00F11A33"/>
    <w:pPr>
      <w:suppressLineNumbers/>
    </w:pPr>
    <w:rPr>
      <w:rFonts w:cs="Lohit Hindi"/>
    </w:rPr>
  </w:style>
  <w:style w:type="paragraph" w:customStyle="1" w:styleId="Encabezado1">
    <w:name w:val="Encabezado1"/>
    <w:basedOn w:val="Standard"/>
    <w:next w:val="Textbody"/>
    <w:rsid w:val="00F11A33"/>
    <w:pPr>
      <w:keepNext/>
      <w:spacing w:before="240" w:after="120"/>
    </w:pPr>
    <w:rPr>
      <w:rFonts w:ascii="Liberation Sans" w:hAnsi="Liberation Sans" w:cs="Lohit Hindi"/>
      <w:sz w:val="28"/>
      <w:szCs w:val="28"/>
    </w:rPr>
  </w:style>
  <w:style w:type="paragraph" w:customStyle="1" w:styleId="Descripcin2">
    <w:name w:val="Descripción2"/>
    <w:basedOn w:val="Standard"/>
    <w:qFormat/>
    <w:rsid w:val="00F11A33"/>
    <w:pPr>
      <w:suppressLineNumbers/>
      <w:spacing w:before="120" w:after="120"/>
    </w:pPr>
    <w:rPr>
      <w:rFonts w:cs="Lohit Hindi"/>
      <w:i/>
      <w:iCs/>
      <w:sz w:val="24"/>
      <w:szCs w:val="24"/>
    </w:rPr>
  </w:style>
  <w:style w:type="character" w:customStyle="1" w:styleId="PiedepginaCar2">
    <w:name w:val="Pie de página Car2"/>
    <w:uiPriority w:val="99"/>
    <w:rsid w:val="00F11A33"/>
    <w:rPr>
      <w:rFonts w:ascii="Times New Roman" w:hAnsi="Times New Roman"/>
      <w:sz w:val="24"/>
      <w:lang w:val="es-ES"/>
    </w:rPr>
  </w:style>
  <w:style w:type="paragraph" w:customStyle="1" w:styleId="Footnote">
    <w:name w:val="Footnote"/>
    <w:basedOn w:val="Standard"/>
    <w:rsid w:val="00F11A33"/>
  </w:style>
  <w:style w:type="paragraph" w:customStyle="1" w:styleId="Textoindependiente21">
    <w:name w:val="Texto independiente 21"/>
    <w:basedOn w:val="Standard"/>
    <w:rsid w:val="00F11A33"/>
    <w:pPr>
      <w:spacing w:after="120" w:line="480" w:lineRule="auto"/>
    </w:pPr>
    <w:rPr>
      <w:sz w:val="24"/>
      <w:szCs w:val="24"/>
    </w:rPr>
  </w:style>
  <w:style w:type="paragraph" w:customStyle="1" w:styleId="Contents1">
    <w:name w:val="Contents 1"/>
    <w:basedOn w:val="Standard"/>
    <w:next w:val="Standard"/>
    <w:rsid w:val="00F11A33"/>
    <w:pPr>
      <w:spacing w:before="120" w:after="120"/>
    </w:pPr>
    <w:rPr>
      <w:b/>
      <w:bCs/>
      <w:caps/>
    </w:rPr>
  </w:style>
  <w:style w:type="paragraph" w:customStyle="1" w:styleId="Contents2">
    <w:name w:val="Contents 2"/>
    <w:basedOn w:val="Standard"/>
    <w:next w:val="Standard"/>
    <w:rsid w:val="00F11A33"/>
    <w:pPr>
      <w:ind w:left="200"/>
    </w:pPr>
    <w:rPr>
      <w:smallCaps/>
    </w:rPr>
  </w:style>
  <w:style w:type="paragraph" w:customStyle="1" w:styleId="Contents3">
    <w:name w:val="Contents 3"/>
    <w:basedOn w:val="Standard"/>
    <w:next w:val="Standard"/>
    <w:rsid w:val="00F11A33"/>
    <w:pPr>
      <w:ind w:left="400"/>
    </w:pPr>
    <w:rPr>
      <w:i/>
      <w:iCs/>
    </w:rPr>
  </w:style>
  <w:style w:type="paragraph" w:customStyle="1" w:styleId="Contents4">
    <w:name w:val="Contents 4"/>
    <w:basedOn w:val="Standard"/>
    <w:next w:val="Standard"/>
    <w:rsid w:val="00F11A33"/>
    <w:pPr>
      <w:ind w:left="800" w:hanging="200"/>
    </w:pPr>
  </w:style>
  <w:style w:type="paragraph" w:customStyle="1" w:styleId="Contents5">
    <w:name w:val="Contents 5"/>
    <w:basedOn w:val="Standard"/>
    <w:next w:val="Standard"/>
    <w:rsid w:val="00F11A33"/>
    <w:pPr>
      <w:ind w:left="1000" w:hanging="200"/>
    </w:pPr>
  </w:style>
  <w:style w:type="paragraph" w:customStyle="1" w:styleId="Contents6">
    <w:name w:val="Contents 6"/>
    <w:basedOn w:val="Standard"/>
    <w:next w:val="Standard"/>
    <w:rsid w:val="00F11A33"/>
    <w:pPr>
      <w:ind w:left="1200" w:hanging="200"/>
    </w:pPr>
  </w:style>
  <w:style w:type="paragraph" w:customStyle="1" w:styleId="Contents7">
    <w:name w:val="Contents 7"/>
    <w:basedOn w:val="Standard"/>
    <w:next w:val="Standard"/>
    <w:rsid w:val="00F11A33"/>
    <w:pPr>
      <w:ind w:left="1400" w:hanging="200"/>
    </w:pPr>
  </w:style>
  <w:style w:type="paragraph" w:customStyle="1" w:styleId="Contents8">
    <w:name w:val="Contents 8"/>
    <w:basedOn w:val="Standard"/>
    <w:next w:val="Standard"/>
    <w:rsid w:val="00F11A33"/>
    <w:pPr>
      <w:ind w:left="1600" w:hanging="200"/>
    </w:pPr>
  </w:style>
  <w:style w:type="paragraph" w:customStyle="1" w:styleId="Contents9">
    <w:name w:val="Contents 9"/>
    <w:basedOn w:val="Standard"/>
    <w:next w:val="Standard"/>
    <w:rsid w:val="00F11A33"/>
    <w:pPr>
      <w:ind w:left="1800" w:hanging="200"/>
    </w:pPr>
  </w:style>
  <w:style w:type="paragraph" w:styleId="ndice1">
    <w:name w:val="index 1"/>
    <w:basedOn w:val="Normal"/>
    <w:next w:val="Normal"/>
    <w:autoRedefine/>
    <w:uiPriority w:val="99"/>
    <w:semiHidden/>
    <w:unhideWhenUsed/>
    <w:rsid w:val="00F11A33"/>
    <w:pPr>
      <w:suppressAutoHyphens/>
      <w:ind w:left="240" w:hanging="240"/>
      <w:textAlignment w:val="baseline"/>
    </w:pPr>
    <w:rPr>
      <w:rFonts w:cs="Mangal"/>
      <w:kern w:val="3"/>
      <w:sz w:val="24"/>
      <w:szCs w:val="21"/>
      <w:lang w:val="es-CO" w:eastAsia="zh-CN" w:bidi="hi-IN"/>
    </w:rPr>
  </w:style>
  <w:style w:type="paragraph" w:styleId="Ttulodendice">
    <w:name w:val="index heading"/>
    <w:basedOn w:val="Standard"/>
    <w:next w:val="Contents1"/>
    <w:uiPriority w:val="99"/>
    <w:rsid w:val="00F11A33"/>
    <w:pPr>
      <w:spacing w:before="120" w:after="120"/>
    </w:pPr>
    <w:rPr>
      <w:b/>
      <w:bCs/>
      <w:i/>
      <w:iCs/>
    </w:rPr>
  </w:style>
  <w:style w:type="paragraph" w:customStyle="1" w:styleId="TDC41">
    <w:name w:val="TDC 41"/>
    <w:basedOn w:val="Standard"/>
    <w:next w:val="Standard"/>
    <w:rsid w:val="00F11A33"/>
    <w:pPr>
      <w:ind w:left="600"/>
    </w:pPr>
    <w:rPr>
      <w:sz w:val="18"/>
      <w:szCs w:val="18"/>
    </w:rPr>
  </w:style>
  <w:style w:type="paragraph" w:customStyle="1" w:styleId="TDC51">
    <w:name w:val="TDC 51"/>
    <w:basedOn w:val="Standard"/>
    <w:next w:val="Standard"/>
    <w:rsid w:val="00F11A33"/>
    <w:pPr>
      <w:ind w:left="800"/>
    </w:pPr>
    <w:rPr>
      <w:sz w:val="18"/>
      <w:szCs w:val="18"/>
    </w:rPr>
  </w:style>
  <w:style w:type="paragraph" w:customStyle="1" w:styleId="TDC61">
    <w:name w:val="TDC 61"/>
    <w:basedOn w:val="Standard"/>
    <w:next w:val="Standard"/>
    <w:rsid w:val="00F11A33"/>
    <w:pPr>
      <w:ind w:left="1000"/>
    </w:pPr>
    <w:rPr>
      <w:sz w:val="18"/>
      <w:szCs w:val="18"/>
    </w:rPr>
  </w:style>
  <w:style w:type="paragraph" w:customStyle="1" w:styleId="TDC71">
    <w:name w:val="TDC 71"/>
    <w:basedOn w:val="Standard"/>
    <w:next w:val="Standard"/>
    <w:rsid w:val="00F11A33"/>
    <w:pPr>
      <w:ind w:left="1200"/>
    </w:pPr>
    <w:rPr>
      <w:sz w:val="18"/>
      <w:szCs w:val="18"/>
    </w:rPr>
  </w:style>
  <w:style w:type="paragraph" w:customStyle="1" w:styleId="TDC81">
    <w:name w:val="TDC 81"/>
    <w:basedOn w:val="Standard"/>
    <w:next w:val="Standard"/>
    <w:rsid w:val="00F11A33"/>
    <w:pPr>
      <w:ind w:left="1400"/>
    </w:pPr>
    <w:rPr>
      <w:sz w:val="18"/>
      <w:szCs w:val="18"/>
    </w:rPr>
  </w:style>
  <w:style w:type="paragraph" w:customStyle="1" w:styleId="TDC91">
    <w:name w:val="TDC 91"/>
    <w:basedOn w:val="Standard"/>
    <w:next w:val="Standard"/>
    <w:rsid w:val="00F11A33"/>
    <w:pPr>
      <w:ind w:left="1600"/>
    </w:pPr>
    <w:rPr>
      <w:sz w:val="18"/>
      <w:szCs w:val="18"/>
    </w:rPr>
  </w:style>
  <w:style w:type="paragraph" w:styleId="NormalWeb">
    <w:name w:val="Normal (Web)"/>
    <w:basedOn w:val="Standard"/>
    <w:uiPriority w:val="99"/>
    <w:rsid w:val="00F11A33"/>
    <w:rPr>
      <w:sz w:val="24"/>
      <w:szCs w:val="24"/>
    </w:rPr>
  </w:style>
  <w:style w:type="paragraph" w:customStyle="1" w:styleId="Default">
    <w:name w:val="Default"/>
    <w:rsid w:val="00F11A33"/>
    <w:pPr>
      <w:widowControl/>
      <w:suppressAutoHyphens/>
      <w:textAlignment w:val="baseline"/>
    </w:pPr>
    <w:rPr>
      <w:rFonts w:ascii="Tahoma" w:hAnsi="Tahoma" w:cs="Tahoma"/>
      <w:color w:val="000000"/>
      <w:kern w:val="3"/>
      <w:sz w:val="24"/>
      <w:szCs w:val="24"/>
      <w:lang w:val="es-ES" w:eastAsia="zh-CN"/>
    </w:rPr>
  </w:style>
  <w:style w:type="paragraph" w:customStyle="1" w:styleId="Prrafodelista1">
    <w:name w:val="Párrafo de lista1"/>
    <w:basedOn w:val="Standard"/>
    <w:rsid w:val="00F11A33"/>
    <w:pPr>
      <w:ind w:left="708"/>
    </w:pPr>
  </w:style>
  <w:style w:type="paragraph" w:styleId="Textodeglobo">
    <w:name w:val="Balloon Text"/>
    <w:basedOn w:val="Standard"/>
    <w:link w:val="TextodegloboCar"/>
    <w:uiPriority w:val="99"/>
    <w:rsid w:val="00F11A33"/>
    <w:rPr>
      <w:rFonts w:ascii="Tahoma" w:hAnsi="Tahoma" w:cs="Tahoma"/>
      <w:sz w:val="16"/>
      <w:szCs w:val="16"/>
    </w:rPr>
  </w:style>
  <w:style w:type="character" w:customStyle="1" w:styleId="TextodegloboCar">
    <w:name w:val="Texto de globo Car"/>
    <w:basedOn w:val="Fuentedeprrafopredeter"/>
    <w:link w:val="Textodeglobo"/>
    <w:uiPriority w:val="99"/>
    <w:rsid w:val="00F11A33"/>
    <w:rPr>
      <w:rFonts w:ascii="Tahoma" w:eastAsia="Times New Roman" w:hAnsi="Tahoma" w:cs="Tahoma"/>
      <w:kern w:val="3"/>
      <w:sz w:val="16"/>
      <w:szCs w:val="16"/>
      <w:lang w:val="es-CO" w:eastAsia="zh-CN"/>
    </w:rPr>
  </w:style>
  <w:style w:type="paragraph" w:customStyle="1" w:styleId="Textocomentario1">
    <w:name w:val="Texto comentario1"/>
    <w:basedOn w:val="Standard"/>
    <w:rsid w:val="00F11A33"/>
  </w:style>
  <w:style w:type="paragraph" w:styleId="Textocomentario">
    <w:name w:val="annotation text"/>
    <w:basedOn w:val="Normal"/>
    <w:link w:val="TextocomentarioCar1"/>
    <w:uiPriority w:val="99"/>
    <w:rsid w:val="00F11A33"/>
    <w:pPr>
      <w:suppressAutoHyphens/>
      <w:textAlignment w:val="baseline"/>
    </w:pPr>
    <w:rPr>
      <w:rFonts w:cs="Mangal"/>
      <w:kern w:val="3"/>
      <w:sz w:val="20"/>
      <w:szCs w:val="18"/>
      <w:lang w:val="es-CO" w:eastAsia="zh-CN" w:bidi="hi-IN"/>
    </w:rPr>
  </w:style>
  <w:style w:type="character" w:customStyle="1" w:styleId="TextocomentarioCar">
    <w:name w:val="Texto comentario Car"/>
    <w:basedOn w:val="Fuentedeprrafopredeter"/>
    <w:uiPriority w:val="99"/>
    <w:rsid w:val="00F11A33"/>
    <w:rPr>
      <w:rFonts w:ascii="Times New Roman" w:eastAsia="Times New Roman" w:hAnsi="Times New Roman" w:cs="Times New Roman"/>
      <w:sz w:val="20"/>
      <w:szCs w:val="20"/>
      <w:lang w:val="es-ES"/>
    </w:rPr>
  </w:style>
  <w:style w:type="character" w:customStyle="1" w:styleId="TextocomentarioCar1">
    <w:name w:val="Texto comentario Car1"/>
    <w:link w:val="Textocomentario"/>
    <w:uiPriority w:val="99"/>
    <w:rsid w:val="00F11A33"/>
    <w:rPr>
      <w:rFonts w:ascii="Times New Roman" w:eastAsia="Times New Roman" w:hAnsi="Times New Roman" w:cs="Mangal"/>
      <w:kern w:val="3"/>
      <w:sz w:val="20"/>
      <w:szCs w:val="18"/>
      <w:lang w:val="es-CO" w:eastAsia="zh-CN" w:bidi="hi-IN"/>
    </w:rPr>
  </w:style>
  <w:style w:type="paragraph" w:styleId="Asuntodelcomentario">
    <w:name w:val="annotation subject"/>
    <w:basedOn w:val="Textocomentario1"/>
    <w:next w:val="Textocomentario1"/>
    <w:link w:val="AsuntodelcomentarioCar"/>
    <w:uiPriority w:val="99"/>
    <w:rsid w:val="00F11A33"/>
    <w:rPr>
      <w:b/>
      <w:bCs/>
    </w:rPr>
  </w:style>
  <w:style w:type="character" w:customStyle="1" w:styleId="AsuntodelcomentarioCar">
    <w:name w:val="Asunto del comentario Car"/>
    <w:basedOn w:val="TextocomentarioCar"/>
    <w:link w:val="Asuntodelcomentario"/>
    <w:uiPriority w:val="99"/>
    <w:rsid w:val="00F11A33"/>
    <w:rPr>
      <w:rFonts w:ascii="Times New Roman" w:eastAsia="Times New Roman" w:hAnsi="Times New Roman" w:cs="Times New Roman"/>
      <w:b/>
      <w:bCs/>
      <w:kern w:val="3"/>
      <w:sz w:val="20"/>
      <w:szCs w:val="20"/>
      <w:lang w:val="es-CO" w:eastAsia="zh-CN"/>
    </w:rPr>
  </w:style>
  <w:style w:type="paragraph" w:customStyle="1" w:styleId="Sangradet">
    <w:name w:val="Sangría de t"/>
    <w:basedOn w:val="Standard"/>
    <w:rsid w:val="00F11A33"/>
    <w:pPr>
      <w:autoSpaceDE w:val="0"/>
      <w:jc w:val="both"/>
    </w:pPr>
    <w:rPr>
      <w:rFonts w:ascii="Arial" w:hAnsi="Arial" w:cs="Arial"/>
      <w:sz w:val="22"/>
      <w:szCs w:val="22"/>
      <w:lang w:val="es-ES"/>
    </w:rPr>
  </w:style>
  <w:style w:type="paragraph" w:customStyle="1" w:styleId="Sangra2detindependiente1">
    <w:name w:val="Sangría 2 de t. independiente1"/>
    <w:basedOn w:val="Standard"/>
    <w:rsid w:val="00F11A33"/>
    <w:pPr>
      <w:spacing w:after="120" w:line="480" w:lineRule="auto"/>
      <w:ind w:left="283"/>
    </w:pPr>
  </w:style>
  <w:style w:type="paragraph" w:customStyle="1" w:styleId="TableContents">
    <w:name w:val="Table Contents"/>
    <w:basedOn w:val="Standard"/>
    <w:rsid w:val="00F11A33"/>
    <w:pPr>
      <w:suppressLineNumbers/>
    </w:pPr>
  </w:style>
  <w:style w:type="paragraph" w:customStyle="1" w:styleId="TableHeading">
    <w:name w:val="Table Heading"/>
    <w:basedOn w:val="TableContents"/>
    <w:rsid w:val="00F11A33"/>
    <w:pPr>
      <w:jc w:val="center"/>
    </w:pPr>
    <w:rPr>
      <w:b/>
      <w:bCs/>
    </w:rPr>
  </w:style>
  <w:style w:type="paragraph" w:customStyle="1" w:styleId="western">
    <w:name w:val="western"/>
    <w:basedOn w:val="Standard"/>
    <w:rsid w:val="00F11A33"/>
    <w:pPr>
      <w:suppressAutoHyphens w:val="0"/>
      <w:spacing w:before="280" w:after="280"/>
    </w:pPr>
    <w:rPr>
      <w:sz w:val="24"/>
      <w:szCs w:val="24"/>
    </w:rPr>
  </w:style>
  <w:style w:type="character" w:customStyle="1" w:styleId="EncabezadoCar2">
    <w:name w:val="Encabezado Car2"/>
    <w:aliases w:val="h Car1,h8 Car1,h9 Car1,h10 Car1,h18 Car1"/>
    <w:uiPriority w:val="99"/>
    <w:rsid w:val="00F11A33"/>
    <w:rPr>
      <w:sz w:val="20"/>
    </w:rPr>
  </w:style>
  <w:style w:type="character" w:customStyle="1" w:styleId="WW8Num1z0">
    <w:name w:val="WW8Num1z0"/>
    <w:rsid w:val="00F11A33"/>
    <w:rPr>
      <w:rFonts w:ascii="Symbol" w:hAnsi="Symbol"/>
      <w:b/>
    </w:rPr>
  </w:style>
  <w:style w:type="character" w:customStyle="1" w:styleId="WW8Num1z1">
    <w:name w:val="WW8Num1z1"/>
    <w:rsid w:val="00F11A33"/>
  </w:style>
  <w:style w:type="character" w:customStyle="1" w:styleId="WW8Num1z2">
    <w:name w:val="WW8Num1z2"/>
    <w:rsid w:val="00F11A33"/>
  </w:style>
  <w:style w:type="character" w:customStyle="1" w:styleId="WW8Num1z3">
    <w:name w:val="WW8Num1z3"/>
    <w:rsid w:val="00F11A33"/>
  </w:style>
  <w:style w:type="character" w:customStyle="1" w:styleId="WW8Num1z4">
    <w:name w:val="WW8Num1z4"/>
    <w:rsid w:val="00F11A33"/>
  </w:style>
  <w:style w:type="character" w:customStyle="1" w:styleId="WW8Num1z5">
    <w:name w:val="WW8Num1z5"/>
    <w:rsid w:val="00F11A33"/>
  </w:style>
  <w:style w:type="character" w:customStyle="1" w:styleId="WW8Num1z6">
    <w:name w:val="WW8Num1z6"/>
    <w:rsid w:val="00F11A33"/>
  </w:style>
  <w:style w:type="character" w:customStyle="1" w:styleId="WW8Num1z7">
    <w:name w:val="WW8Num1z7"/>
    <w:rsid w:val="00F11A33"/>
  </w:style>
  <w:style w:type="character" w:customStyle="1" w:styleId="WW8Num1z8">
    <w:name w:val="WW8Num1z8"/>
    <w:rsid w:val="00F11A33"/>
  </w:style>
  <w:style w:type="character" w:customStyle="1" w:styleId="WW8Num2z0">
    <w:name w:val="WW8Num2z0"/>
    <w:rsid w:val="00F11A33"/>
    <w:rPr>
      <w:rFonts w:ascii="Arial" w:hAnsi="Arial"/>
      <w:b/>
      <w:sz w:val="22"/>
    </w:rPr>
  </w:style>
  <w:style w:type="character" w:customStyle="1" w:styleId="WW8Num3z0">
    <w:name w:val="WW8Num3z0"/>
    <w:rsid w:val="00F11A33"/>
  </w:style>
  <w:style w:type="character" w:customStyle="1" w:styleId="WW8Num4z0">
    <w:name w:val="WW8Num4z0"/>
    <w:rsid w:val="00F11A33"/>
    <w:rPr>
      <w:rFonts w:ascii="Garamond" w:hAnsi="Garamond"/>
      <w:color w:val="000000"/>
      <w:sz w:val="22"/>
    </w:rPr>
  </w:style>
  <w:style w:type="character" w:customStyle="1" w:styleId="WW8Num5z0">
    <w:name w:val="WW8Num5z0"/>
    <w:rsid w:val="00F11A33"/>
    <w:rPr>
      <w:rFonts w:ascii="Arial" w:hAnsi="Arial"/>
      <w:b/>
      <w:sz w:val="22"/>
    </w:rPr>
  </w:style>
  <w:style w:type="character" w:customStyle="1" w:styleId="WW8Num6z0">
    <w:name w:val="WW8Num6z0"/>
    <w:rsid w:val="00F11A33"/>
    <w:rPr>
      <w:rFonts w:ascii="Garamond" w:hAnsi="Garamond"/>
      <w:color w:val="000000"/>
      <w:sz w:val="22"/>
      <w:lang w:val="es-ES"/>
    </w:rPr>
  </w:style>
  <w:style w:type="character" w:customStyle="1" w:styleId="WW8Num7z0">
    <w:name w:val="WW8Num7z0"/>
    <w:rsid w:val="00F11A33"/>
  </w:style>
  <w:style w:type="character" w:customStyle="1" w:styleId="WW8Num8z0">
    <w:name w:val="WW8Num8z0"/>
    <w:rsid w:val="00F11A33"/>
    <w:rPr>
      <w:rFonts w:ascii="Arial Narrow" w:hAnsi="Arial Narrow"/>
      <w:color w:val="000000"/>
      <w:sz w:val="22"/>
    </w:rPr>
  </w:style>
  <w:style w:type="character" w:customStyle="1" w:styleId="WW8Num9z0">
    <w:name w:val="WW8Num9z0"/>
    <w:rsid w:val="00F11A33"/>
    <w:rPr>
      <w:rFonts w:ascii="Garamond" w:hAnsi="Garamond"/>
      <w:b/>
      <w:sz w:val="22"/>
      <w:lang w:val="es-ES"/>
    </w:rPr>
  </w:style>
  <w:style w:type="character" w:customStyle="1" w:styleId="WW8Num10z0">
    <w:name w:val="WW8Num10z0"/>
    <w:rsid w:val="00F11A33"/>
    <w:rPr>
      <w:rFonts w:ascii="Garamond" w:hAnsi="Garamond"/>
      <w:b/>
      <w:color w:val="000000"/>
      <w:sz w:val="22"/>
    </w:rPr>
  </w:style>
  <w:style w:type="character" w:customStyle="1" w:styleId="WW8Num11z0">
    <w:name w:val="WW8Num11z0"/>
    <w:rsid w:val="00F11A33"/>
    <w:rPr>
      <w:rFonts w:ascii="Symbol" w:hAnsi="Symbol"/>
      <w:b/>
    </w:rPr>
  </w:style>
  <w:style w:type="character" w:customStyle="1" w:styleId="WW8Num12z0">
    <w:name w:val="WW8Num12z0"/>
    <w:rsid w:val="00F11A33"/>
    <w:rPr>
      <w:rFonts w:ascii="Arial" w:hAnsi="Arial"/>
      <w:b/>
      <w:sz w:val="22"/>
      <w:lang w:val="es-ES"/>
    </w:rPr>
  </w:style>
  <w:style w:type="character" w:customStyle="1" w:styleId="WW8Num12z1">
    <w:name w:val="WW8Num12z1"/>
    <w:rsid w:val="00F11A33"/>
  </w:style>
  <w:style w:type="character" w:customStyle="1" w:styleId="WW8Num13z0">
    <w:name w:val="WW8Num13z0"/>
    <w:rsid w:val="00F11A33"/>
    <w:rPr>
      <w:b/>
      <w:color w:val="808080"/>
    </w:rPr>
  </w:style>
  <w:style w:type="character" w:customStyle="1" w:styleId="WW8Num14z0">
    <w:name w:val="WW8Num14z0"/>
    <w:rsid w:val="00F11A33"/>
    <w:rPr>
      <w:rFonts w:ascii="Garamond" w:hAnsi="Garamond"/>
      <w:b/>
      <w:color w:val="948A54"/>
      <w:sz w:val="22"/>
    </w:rPr>
  </w:style>
  <w:style w:type="character" w:customStyle="1" w:styleId="WW8Num7z1">
    <w:name w:val="WW8Num7z1"/>
    <w:rsid w:val="00F11A33"/>
  </w:style>
  <w:style w:type="character" w:customStyle="1" w:styleId="WW8Num11z1">
    <w:name w:val="WW8Num11z1"/>
    <w:rsid w:val="00F11A33"/>
    <w:rPr>
      <w:rFonts w:ascii="Courier New" w:hAnsi="Courier New"/>
    </w:rPr>
  </w:style>
  <w:style w:type="character" w:customStyle="1" w:styleId="WW8Num14z1">
    <w:name w:val="WW8Num14z1"/>
    <w:rsid w:val="00F11A33"/>
  </w:style>
  <w:style w:type="character" w:customStyle="1" w:styleId="WW8Num14z2">
    <w:name w:val="WW8Num14z2"/>
    <w:rsid w:val="00F11A33"/>
  </w:style>
  <w:style w:type="character" w:customStyle="1" w:styleId="WW8Num14z3">
    <w:name w:val="WW8Num14z3"/>
    <w:rsid w:val="00F11A33"/>
  </w:style>
  <w:style w:type="character" w:customStyle="1" w:styleId="WW8Num14z4">
    <w:name w:val="WW8Num14z4"/>
    <w:rsid w:val="00F11A33"/>
  </w:style>
  <w:style w:type="character" w:customStyle="1" w:styleId="WW8Num14z5">
    <w:name w:val="WW8Num14z5"/>
    <w:rsid w:val="00F11A33"/>
  </w:style>
  <w:style w:type="character" w:customStyle="1" w:styleId="WW8Num14z6">
    <w:name w:val="WW8Num14z6"/>
    <w:rsid w:val="00F11A33"/>
  </w:style>
  <w:style w:type="character" w:customStyle="1" w:styleId="WW8Num14z7">
    <w:name w:val="WW8Num14z7"/>
    <w:rsid w:val="00F11A33"/>
  </w:style>
  <w:style w:type="character" w:customStyle="1" w:styleId="WW8Num14z8">
    <w:name w:val="WW8Num14z8"/>
    <w:rsid w:val="00F11A33"/>
  </w:style>
  <w:style w:type="character" w:customStyle="1" w:styleId="WW8Num2z1">
    <w:name w:val="WW8Num2z1"/>
    <w:rsid w:val="00F11A33"/>
  </w:style>
  <w:style w:type="character" w:customStyle="1" w:styleId="WW8Num3z1">
    <w:name w:val="WW8Num3z1"/>
    <w:rsid w:val="00F11A33"/>
  </w:style>
  <w:style w:type="character" w:customStyle="1" w:styleId="WW8Num4z1">
    <w:name w:val="WW8Num4z1"/>
    <w:rsid w:val="00F11A33"/>
  </w:style>
  <w:style w:type="character" w:customStyle="1" w:styleId="WW8Num5z1">
    <w:name w:val="WW8Num5z1"/>
    <w:rsid w:val="00F11A33"/>
  </w:style>
  <w:style w:type="character" w:customStyle="1" w:styleId="WW8Num6z1">
    <w:name w:val="WW8Num6z1"/>
    <w:rsid w:val="00F11A33"/>
  </w:style>
  <w:style w:type="character" w:customStyle="1" w:styleId="WW8Num8z1">
    <w:name w:val="WW8Num8z1"/>
    <w:rsid w:val="00F11A33"/>
    <w:rPr>
      <w:rFonts w:ascii="Courier New" w:hAnsi="Courier New"/>
    </w:rPr>
  </w:style>
  <w:style w:type="character" w:customStyle="1" w:styleId="WW8Num8z2">
    <w:name w:val="WW8Num8z2"/>
    <w:rsid w:val="00F11A33"/>
    <w:rPr>
      <w:rFonts w:ascii="Wingdings" w:hAnsi="Wingdings"/>
    </w:rPr>
  </w:style>
  <w:style w:type="character" w:customStyle="1" w:styleId="WW8Num8z3">
    <w:name w:val="WW8Num8z3"/>
    <w:rsid w:val="00F11A33"/>
    <w:rPr>
      <w:rFonts w:ascii="Symbol" w:hAnsi="Symbol"/>
    </w:rPr>
  </w:style>
  <w:style w:type="character" w:customStyle="1" w:styleId="WW8Num9z1">
    <w:name w:val="WW8Num9z1"/>
    <w:rsid w:val="00F11A33"/>
  </w:style>
  <w:style w:type="character" w:customStyle="1" w:styleId="WW8Num10z1">
    <w:name w:val="WW8Num10z1"/>
    <w:rsid w:val="00F11A33"/>
    <w:rPr>
      <w:rFonts w:ascii="Symbol" w:hAnsi="Symbol"/>
    </w:rPr>
  </w:style>
  <w:style w:type="character" w:customStyle="1" w:styleId="WW8Num10z2">
    <w:name w:val="WW8Num10z2"/>
    <w:rsid w:val="00F11A33"/>
  </w:style>
  <w:style w:type="character" w:customStyle="1" w:styleId="WW8Num11z2">
    <w:name w:val="WW8Num11z2"/>
    <w:rsid w:val="00F11A33"/>
    <w:rPr>
      <w:rFonts w:ascii="Wingdings" w:hAnsi="Wingdings"/>
    </w:rPr>
  </w:style>
  <w:style w:type="character" w:customStyle="1" w:styleId="WW8Num13z1">
    <w:name w:val="WW8Num13z1"/>
    <w:rsid w:val="00F11A33"/>
  </w:style>
  <w:style w:type="character" w:customStyle="1" w:styleId="WW8Num15z0">
    <w:name w:val="WW8Num15z0"/>
    <w:rsid w:val="00F11A33"/>
    <w:rPr>
      <w:b/>
    </w:rPr>
  </w:style>
  <w:style w:type="character" w:customStyle="1" w:styleId="WW8Num15z1">
    <w:name w:val="WW8Num15z1"/>
    <w:rsid w:val="00F11A33"/>
  </w:style>
  <w:style w:type="character" w:customStyle="1" w:styleId="WW8Num16z0">
    <w:name w:val="WW8Num16z0"/>
    <w:rsid w:val="00F11A33"/>
    <w:rPr>
      <w:b/>
    </w:rPr>
  </w:style>
  <w:style w:type="character" w:customStyle="1" w:styleId="WW8Num16z1">
    <w:name w:val="WW8Num16z1"/>
    <w:rsid w:val="00F11A33"/>
  </w:style>
  <w:style w:type="character" w:customStyle="1" w:styleId="WW8Num16z2">
    <w:name w:val="WW8Num16z2"/>
    <w:rsid w:val="00F11A33"/>
  </w:style>
  <w:style w:type="character" w:customStyle="1" w:styleId="WW8Num17z0">
    <w:name w:val="WW8Num17z0"/>
    <w:rsid w:val="00F11A33"/>
    <w:rPr>
      <w:rFonts w:ascii="Wingdings" w:hAnsi="Wingdings"/>
    </w:rPr>
  </w:style>
  <w:style w:type="character" w:customStyle="1" w:styleId="WW8Num17z1">
    <w:name w:val="WW8Num17z1"/>
    <w:rsid w:val="00F11A33"/>
    <w:rPr>
      <w:rFonts w:ascii="Courier New" w:hAnsi="Courier New"/>
    </w:rPr>
  </w:style>
  <w:style w:type="character" w:customStyle="1" w:styleId="WW8Num17z3">
    <w:name w:val="WW8Num17z3"/>
    <w:rsid w:val="00F11A33"/>
    <w:rPr>
      <w:rFonts w:ascii="Symbol" w:hAnsi="Symbol"/>
    </w:rPr>
  </w:style>
  <w:style w:type="character" w:customStyle="1" w:styleId="WW8Num18z0">
    <w:name w:val="WW8Num18z0"/>
    <w:rsid w:val="00F11A33"/>
    <w:rPr>
      <w:rFonts w:ascii="Symbol" w:hAnsi="Symbol"/>
      <w:sz w:val="22"/>
    </w:rPr>
  </w:style>
  <w:style w:type="character" w:customStyle="1" w:styleId="WW8Num18z1">
    <w:name w:val="WW8Num18z1"/>
    <w:rsid w:val="00F11A33"/>
    <w:rPr>
      <w:rFonts w:ascii="Courier New" w:hAnsi="Courier New"/>
    </w:rPr>
  </w:style>
  <w:style w:type="character" w:customStyle="1" w:styleId="WW8Num18z2">
    <w:name w:val="WW8Num18z2"/>
    <w:rsid w:val="00F11A33"/>
    <w:rPr>
      <w:rFonts w:ascii="Wingdings" w:hAnsi="Wingdings"/>
    </w:rPr>
  </w:style>
  <w:style w:type="character" w:customStyle="1" w:styleId="WW8Num19z0">
    <w:name w:val="WW8Num19z0"/>
    <w:rsid w:val="00F11A33"/>
    <w:rPr>
      <w:rFonts w:ascii="Wingdings" w:hAnsi="Wingdings"/>
    </w:rPr>
  </w:style>
  <w:style w:type="character" w:customStyle="1" w:styleId="WW8Num19z1">
    <w:name w:val="WW8Num19z1"/>
    <w:rsid w:val="00F11A33"/>
    <w:rPr>
      <w:rFonts w:ascii="Courier New" w:hAnsi="Courier New"/>
    </w:rPr>
  </w:style>
  <w:style w:type="character" w:customStyle="1" w:styleId="WW8Num19z3">
    <w:name w:val="WW8Num19z3"/>
    <w:rsid w:val="00F11A33"/>
    <w:rPr>
      <w:rFonts w:ascii="Symbol" w:hAnsi="Symbol"/>
    </w:rPr>
  </w:style>
  <w:style w:type="character" w:customStyle="1" w:styleId="WW8Num20z0">
    <w:name w:val="WW8Num20z0"/>
    <w:rsid w:val="00F11A33"/>
    <w:rPr>
      <w:b/>
    </w:rPr>
  </w:style>
  <w:style w:type="character" w:customStyle="1" w:styleId="WW8Num20z2">
    <w:name w:val="WW8Num20z2"/>
    <w:rsid w:val="00F11A33"/>
  </w:style>
  <w:style w:type="character" w:customStyle="1" w:styleId="WW8Num21z0">
    <w:name w:val="WW8Num21z0"/>
    <w:rsid w:val="00F11A33"/>
  </w:style>
  <w:style w:type="character" w:customStyle="1" w:styleId="WW8Num22z0">
    <w:name w:val="WW8Num22z0"/>
    <w:rsid w:val="00F11A33"/>
    <w:rPr>
      <w:b/>
    </w:rPr>
  </w:style>
  <w:style w:type="character" w:customStyle="1" w:styleId="WW8Num22z1">
    <w:name w:val="WW8Num22z1"/>
    <w:rsid w:val="00F11A33"/>
  </w:style>
  <w:style w:type="character" w:customStyle="1" w:styleId="WW8Num23z0">
    <w:name w:val="WW8Num23z0"/>
    <w:rsid w:val="00F11A33"/>
  </w:style>
  <w:style w:type="character" w:customStyle="1" w:styleId="WW8Num24z0">
    <w:name w:val="WW8Num24z0"/>
    <w:rsid w:val="00F11A33"/>
  </w:style>
  <w:style w:type="character" w:customStyle="1" w:styleId="WW8Num24z1">
    <w:name w:val="WW8Num24z1"/>
    <w:rsid w:val="00F11A33"/>
    <w:rPr>
      <w:rFonts w:ascii="Symbol" w:hAnsi="Symbol"/>
    </w:rPr>
  </w:style>
  <w:style w:type="character" w:customStyle="1" w:styleId="WW8Num24z2">
    <w:name w:val="WW8Num24z2"/>
    <w:rsid w:val="00F11A33"/>
  </w:style>
  <w:style w:type="character" w:customStyle="1" w:styleId="WW8Num24z3">
    <w:name w:val="WW8Num24z3"/>
    <w:rsid w:val="00F11A33"/>
  </w:style>
  <w:style w:type="character" w:customStyle="1" w:styleId="WW8Num25z0">
    <w:name w:val="WW8Num25z0"/>
    <w:rsid w:val="00F11A33"/>
  </w:style>
  <w:style w:type="character" w:customStyle="1" w:styleId="WW8Num25z1">
    <w:name w:val="WW8Num25z1"/>
    <w:rsid w:val="00F11A33"/>
  </w:style>
  <w:style w:type="character" w:customStyle="1" w:styleId="WW8Num26z0">
    <w:name w:val="WW8Num26z0"/>
    <w:rsid w:val="00F11A33"/>
  </w:style>
  <w:style w:type="character" w:customStyle="1" w:styleId="WW8Num26z1">
    <w:name w:val="WW8Num26z1"/>
    <w:rsid w:val="00F11A33"/>
  </w:style>
  <w:style w:type="character" w:customStyle="1" w:styleId="WW8Num27z0">
    <w:name w:val="WW8Num27z0"/>
    <w:rsid w:val="00F11A33"/>
  </w:style>
  <w:style w:type="character" w:customStyle="1" w:styleId="WW8Num28z0">
    <w:name w:val="WW8Num28z0"/>
    <w:rsid w:val="00F11A33"/>
  </w:style>
  <w:style w:type="character" w:customStyle="1" w:styleId="WW8Num29z0">
    <w:name w:val="WW8Num29z0"/>
    <w:rsid w:val="00F11A33"/>
  </w:style>
  <w:style w:type="character" w:customStyle="1" w:styleId="WW8Num30z0">
    <w:name w:val="WW8Num30z0"/>
    <w:rsid w:val="00F11A33"/>
  </w:style>
  <w:style w:type="character" w:customStyle="1" w:styleId="WW8Num31z0">
    <w:name w:val="WW8Num31z0"/>
    <w:rsid w:val="00F11A33"/>
  </w:style>
  <w:style w:type="character" w:customStyle="1" w:styleId="WW8Num31z1">
    <w:name w:val="WW8Num31z1"/>
    <w:rsid w:val="00F11A33"/>
  </w:style>
  <w:style w:type="character" w:customStyle="1" w:styleId="WW8Num32z0">
    <w:name w:val="WW8Num32z0"/>
    <w:rsid w:val="00F11A33"/>
    <w:rPr>
      <w:rFonts w:ascii="Symbol" w:hAnsi="Symbol"/>
    </w:rPr>
  </w:style>
  <w:style w:type="character" w:customStyle="1" w:styleId="WW8Num32z1">
    <w:name w:val="WW8Num32z1"/>
    <w:rsid w:val="00F11A33"/>
    <w:rPr>
      <w:rFonts w:ascii="Courier New" w:hAnsi="Courier New"/>
    </w:rPr>
  </w:style>
  <w:style w:type="character" w:customStyle="1" w:styleId="WW8Num32z2">
    <w:name w:val="WW8Num32z2"/>
    <w:rsid w:val="00F11A33"/>
    <w:rPr>
      <w:rFonts w:ascii="Wingdings" w:hAnsi="Wingdings"/>
    </w:rPr>
  </w:style>
  <w:style w:type="character" w:customStyle="1" w:styleId="WW8Num33z0">
    <w:name w:val="WW8Num33z0"/>
    <w:rsid w:val="00F11A33"/>
    <w:rPr>
      <w:rFonts w:ascii="Arial" w:hAnsi="Arial"/>
      <w:b/>
      <w:sz w:val="22"/>
    </w:rPr>
  </w:style>
  <w:style w:type="character" w:customStyle="1" w:styleId="WW8Num33z1">
    <w:name w:val="WW8Num33z1"/>
    <w:rsid w:val="00F11A33"/>
  </w:style>
  <w:style w:type="character" w:customStyle="1" w:styleId="WW8Num34z0">
    <w:name w:val="WW8Num34z0"/>
    <w:rsid w:val="00F11A33"/>
    <w:rPr>
      <w:b/>
    </w:rPr>
  </w:style>
  <w:style w:type="character" w:customStyle="1" w:styleId="WW8Num34z2">
    <w:name w:val="WW8Num34z2"/>
    <w:rsid w:val="00F11A33"/>
  </w:style>
  <w:style w:type="character" w:customStyle="1" w:styleId="WW8Num35z0">
    <w:name w:val="WW8Num35z0"/>
    <w:rsid w:val="00F11A33"/>
    <w:rPr>
      <w:b/>
    </w:rPr>
  </w:style>
  <w:style w:type="character" w:customStyle="1" w:styleId="WW8Num35z2">
    <w:name w:val="WW8Num35z2"/>
    <w:rsid w:val="00F11A33"/>
  </w:style>
  <w:style w:type="character" w:customStyle="1" w:styleId="WW8Num36z0">
    <w:name w:val="WW8Num36z0"/>
    <w:rsid w:val="00F11A33"/>
    <w:rPr>
      <w:b/>
    </w:rPr>
  </w:style>
  <w:style w:type="character" w:customStyle="1" w:styleId="WW8Num36z1">
    <w:name w:val="WW8Num36z1"/>
    <w:rsid w:val="00F11A33"/>
  </w:style>
  <w:style w:type="character" w:customStyle="1" w:styleId="WW8Num37z0">
    <w:name w:val="WW8Num37z0"/>
    <w:rsid w:val="00F11A33"/>
    <w:rPr>
      <w:b/>
    </w:rPr>
  </w:style>
  <w:style w:type="character" w:customStyle="1" w:styleId="WW8Num37z1">
    <w:name w:val="WW8Num37z1"/>
    <w:rsid w:val="00F11A33"/>
  </w:style>
  <w:style w:type="character" w:customStyle="1" w:styleId="WW8Num38z0">
    <w:name w:val="WW8Num38z0"/>
    <w:rsid w:val="00F11A33"/>
  </w:style>
  <w:style w:type="character" w:customStyle="1" w:styleId="WW8Num38z1">
    <w:name w:val="WW8Num38z1"/>
    <w:rsid w:val="00F11A33"/>
  </w:style>
  <w:style w:type="character" w:customStyle="1" w:styleId="WW8Num39z0">
    <w:name w:val="WW8Num39z0"/>
    <w:rsid w:val="00F11A33"/>
    <w:rPr>
      <w:rFonts w:ascii="Arial Narrow" w:hAnsi="Arial Narrow"/>
    </w:rPr>
  </w:style>
  <w:style w:type="character" w:customStyle="1" w:styleId="WW8Num39z1">
    <w:name w:val="WW8Num39z1"/>
    <w:rsid w:val="00F11A33"/>
    <w:rPr>
      <w:rFonts w:ascii="Courier New" w:hAnsi="Courier New"/>
    </w:rPr>
  </w:style>
  <w:style w:type="character" w:customStyle="1" w:styleId="WW8Num39z2">
    <w:name w:val="WW8Num39z2"/>
    <w:rsid w:val="00F11A33"/>
    <w:rPr>
      <w:rFonts w:ascii="Wingdings" w:hAnsi="Wingdings"/>
    </w:rPr>
  </w:style>
  <w:style w:type="character" w:customStyle="1" w:styleId="WW8Num39z3">
    <w:name w:val="WW8Num39z3"/>
    <w:rsid w:val="00F11A33"/>
    <w:rPr>
      <w:rFonts w:ascii="Symbol" w:hAnsi="Symbol"/>
    </w:rPr>
  </w:style>
  <w:style w:type="character" w:customStyle="1" w:styleId="WW8Num40z0">
    <w:name w:val="WW8Num40z0"/>
    <w:rsid w:val="00F11A33"/>
  </w:style>
  <w:style w:type="character" w:customStyle="1" w:styleId="WW8Num41z0">
    <w:name w:val="WW8Num41z0"/>
    <w:rsid w:val="00F11A33"/>
    <w:rPr>
      <w:b/>
    </w:rPr>
  </w:style>
  <w:style w:type="character" w:customStyle="1" w:styleId="WW8Num41z1">
    <w:name w:val="WW8Num41z1"/>
    <w:rsid w:val="00F11A33"/>
  </w:style>
  <w:style w:type="character" w:customStyle="1" w:styleId="WW8Num42z0">
    <w:name w:val="WW8Num42z0"/>
    <w:rsid w:val="00F11A33"/>
  </w:style>
  <w:style w:type="character" w:customStyle="1" w:styleId="WW8Num43z0">
    <w:name w:val="WW8Num43z0"/>
    <w:rsid w:val="00F11A33"/>
    <w:rPr>
      <w:rFonts w:ascii="Arial Narrow" w:hAnsi="Arial Narrow"/>
      <w:color w:val="000000"/>
      <w:sz w:val="24"/>
    </w:rPr>
  </w:style>
  <w:style w:type="character" w:customStyle="1" w:styleId="WW8Num43z1">
    <w:name w:val="WW8Num43z1"/>
    <w:rsid w:val="00F11A33"/>
  </w:style>
  <w:style w:type="character" w:customStyle="1" w:styleId="WW8Num44z0">
    <w:name w:val="WW8Num44z0"/>
    <w:rsid w:val="00F11A33"/>
    <w:rPr>
      <w:rFonts w:ascii="Symbol" w:hAnsi="Symbol"/>
    </w:rPr>
  </w:style>
  <w:style w:type="character" w:customStyle="1" w:styleId="WW8Num44z1">
    <w:name w:val="WW8Num44z1"/>
    <w:rsid w:val="00F11A33"/>
    <w:rPr>
      <w:rFonts w:ascii="Courier New" w:hAnsi="Courier New"/>
    </w:rPr>
  </w:style>
  <w:style w:type="character" w:customStyle="1" w:styleId="WW8Num44z2">
    <w:name w:val="WW8Num44z2"/>
    <w:rsid w:val="00F11A33"/>
    <w:rPr>
      <w:rFonts w:ascii="Wingdings" w:hAnsi="Wingdings"/>
    </w:rPr>
  </w:style>
  <w:style w:type="character" w:customStyle="1" w:styleId="WW8Num45z0">
    <w:name w:val="WW8Num45z0"/>
    <w:rsid w:val="00F11A33"/>
    <w:rPr>
      <w:rFonts w:ascii="Symbol" w:hAnsi="Symbol"/>
      <w:color w:val="000000"/>
    </w:rPr>
  </w:style>
  <w:style w:type="character" w:customStyle="1" w:styleId="WW8Num45z2">
    <w:name w:val="WW8Num45z2"/>
    <w:rsid w:val="00F11A33"/>
    <w:rPr>
      <w:rFonts w:ascii="Wingdings" w:hAnsi="Wingdings"/>
      <w:color w:val="000000"/>
    </w:rPr>
  </w:style>
  <w:style w:type="character" w:customStyle="1" w:styleId="WW8Num45z3">
    <w:name w:val="WW8Num45z3"/>
    <w:rsid w:val="00F11A33"/>
    <w:rPr>
      <w:rFonts w:ascii="Symbol" w:hAnsi="Symbol"/>
    </w:rPr>
  </w:style>
  <w:style w:type="character" w:customStyle="1" w:styleId="WW8Num45z4">
    <w:name w:val="WW8Num45z4"/>
    <w:rsid w:val="00F11A33"/>
    <w:rPr>
      <w:rFonts w:ascii="Courier New" w:hAnsi="Courier New"/>
    </w:rPr>
  </w:style>
  <w:style w:type="character" w:customStyle="1" w:styleId="WW8Num45z5">
    <w:name w:val="WW8Num45z5"/>
    <w:rsid w:val="00F11A33"/>
    <w:rPr>
      <w:rFonts w:ascii="Wingdings" w:hAnsi="Wingdings"/>
    </w:rPr>
  </w:style>
  <w:style w:type="character" w:customStyle="1" w:styleId="WW8Num46z0">
    <w:name w:val="WW8Num46z0"/>
    <w:rsid w:val="00F11A33"/>
    <w:rPr>
      <w:rFonts w:ascii="Arial" w:hAnsi="Arial"/>
      <w:b/>
      <w:color w:val="000000"/>
      <w:sz w:val="22"/>
    </w:rPr>
  </w:style>
  <w:style w:type="character" w:customStyle="1" w:styleId="WW8Num46z1">
    <w:name w:val="WW8Num46z1"/>
    <w:rsid w:val="00F11A33"/>
  </w:style>
  <w:style w:type="character" w:customStyle="1" w:styleId="Fuentedeprrafopredeter1">
    <w:name w:val="Fuente de párrafo predeter.1"/>
    <w:rsid w:val="00F11A33"/>
  </w:style>
  <w:style w:type="character" w:customStyle="1" w:styleId="FooterChar1">
    <w:name w:val="Footer Char1"/>
    <w:rsid w:val="00F11A33"/>
    <w:rPr>
      <w:sz w:val="20"/>
    </w:rPr>
  </w:style>
  <w:style w:type="character" w:customStyle="1" w:styleId="Internetlink">
    <w:name w:val="Internet link"/>
    <w:rsid w:val="00F11A33"/>
    <w:rPr>
      <w:color w:val="0000FF"/>
      <w:u w:val="single"/>
    </w:rPr>
  </w:style>
  <w:style w:type="character" w:customStyle="1" w:styleId="BodyTextChar">
    <w:name w:val="Body Text Char"/>
    <w:rsid w:val="00F11A33"/>
    <w:rPr>
      <w:sz w:val="20"/>
    </w:rPr>
  </w:style>
  <w:style w:type="character" w:customStyle="1" w:styleId="FootnoteTextChar">
    <w:name w:val="Footnote Text Char"/>
    <w:rsid w:val="00F11A33"/>
    <w:rPr>
      <w:sz w:val="20"/>
    </w:rPr>
  </w:style>
  <w:style w:type="character" w:customStyle="1" w:styleId="FootnoteSymbol">
    <w:name w:val="Footnote Symbol"/>
    <w:rsid w:val="00F11A33"/>
    <w:rPr>
      <w:position w:val="0"/>
      <w:vertAlign w:val="superscript"/>
    </w:rPr>
  </w:style>
  <w:style w:type="character" w:customStyle="1" w:styleId="BodyText2Char">
    <w:name w:val="Body Text 2 Char"/>
    <w:rsid w:val="00F11A33"/>
    <w:rPr>
      <w:sz w:val="20"/>
    </w:rPr>
  </w:style>
  <w:style w:type="character" w:styleId="Nmerodepgina">
    <w:name w:val="page number"/>
    <w:basedOn w:val="Fuentedeprrafopredeter"/>
    <w:rsid w:val="00F11A33"/>
  </w:style>
  <w:style w:type="character" w:customStyle="1" w:styleId="FootnoteTextChar1">
    <w:name w:val="Footnote Text Char1"/>
    <w:rsid w:val="00F11A33"/>
    <w:rPr>
      <w:lang w:val="es-CO"/>
    </w:rPr>
  </w:style>
  <w:style w:type="character" w:customStyle="1" w:styleId="Refdecomentario1">
    <w:name w:val="Ref. de comentario1"/>
    <w:rsid w:val="00F11A33"/>
    <w:rPr>
      <w:sz w:val="16"/>
    </w:rPr>
  </w:style>
  <w:style w:type="character" w:customStyle="1" w:styleId="VisitedInternetLink">
    <w:name w:val="Visited Internet Link"/>
    <w:rsid w:val="00F11A33"/>
    <w:rPr>
      <w:color w:val="800080"/>
      <w:u w:val="single"/>
    </w:rPr>
  </w:style>
  <w:style w:type="character" w:customStyle="1" w:styleId="BodyTextIndent2Char">
    <w:name w:val="Body Text Indent 2 Char"/>
    <w:rsid w:val="00F11A33"/>
    <w:rPr>
      <w:sz w:val="20"/>
    </w:rPr>
  </w:style>
  <w:style w:type="character" w:styleId="Refdenotaalpie">
    <w:name w:val="footnote reference"/>
    <w:uiPriority w:val="99"/>
    <w:rsid w:val="00F11A33"/>
    <w:rPr>
      <w:position w:val="0"/>
      <w:vertAlign w:val="superscript"/>
    </w:rPr>
  </w:style>
  <w:style w:type="character" w:customStyle="1" w:styleId="EndnoteSymbol">
    <w:name w:val="Endnote Symbol"/>
    <w:rsid w:val="00F11A33"/>
    <w:rPr>
      <w:position w:val="0"/>
      <w:vertAlign w:val="superscript"/>
    </w:rPr>
  </w:style>
  <w:style w:type="character" w:customStyle="1" w:styleId="WW-Caracteresdenotafinal">
    <w:name w:val="WW-Caracteres de nota final"/>
    <w:rsid w:val="00F11A33"/>
  </w:style>
  <w:style w:type="character" w:styleId="Refdenotaalfinal">
    <w:name w:val="endnote reference"/>
    <w:uiPriority w:val="99"/>
    <w:rsid w:val="00F11A33"/>
    <w:rPr>
      <w:position w:val="0"/>
      <w:vertAlign w:val="superscript"/>
    </w:rPr>
  </w:style>
  <w:style w:type="character" w:customStyle="1" w:styleId="Footnoteanchor">
    <w:name w:val="Footnote anchor"/>
    <w:rsid w:val="00F11A33"/>
    <w:rPr>
      <w:position w:val="0"/>
      <w:vertAlign w:val="superscript"/>
    </w:rPr>
  </w:style>
  <w:style w:type="character" w:styleId="Refdecomentario">
    <w:name w:val="annotation reference"/>
    <w:uiPriority w:val="99"/>
    <w:rsid w:val="00F11A33"/>
    <w:rPr>
      <w:rFonts w:cs="Times New Roman"/>
      <w:sz w:val="16"/>
      <w:szCs w:val="16"/>
    </w:rPr>
  </w:style>
  <w:style w:type="character" w:styleId="Textoennegrita">
    <w:name w:val="Strong"/>
    <w:uiPriority w:val="22"/>
    <w:qFormat/>
    <w:rsid w:val="00F11A33"/>
    <w:rPr>
      <w:rFonts w:cs="Times New Roman"/>
      <w:b/>
      <w:bCs/>
    </w:rPr>
  </w:style>
  <w:style w:type="character" w:customStyle="1" w:styleId="EncabezadoCar1">
    <w:name w:val="Encabezado Car1"/>
    <w:rsid w:val="00F11A33"/>
    <w:rPr>
      <w:rFonts w:cs="Mangal"/>
      <w:sz w:val="21"/>
      <w:szCs w:val="21"/>
    </w:rPr>
  </w:style>
  <w:style w:type="character" w:customStyle="1" w:styleId="PiedepginaCar1">
    <w:name w:val="Pie de página Car1"/>
    <w:rsid w:val="00F11A33"/>
    <w:rPr>
      <w:rFonts w:cs="Mangal"/>
      <w:sz w:val="21"/>
      <w:szCs w:val="21"/>
    </w:rPr>
  </w:style>
  <w:style w:type="numbering" w:customStyle="1" w:styleId="WW8Num6">
    <w:name w:val="WW8Num6"/>
    <w:rsid w:val="00F11A33"/>
  </w:style>
  <w:style w:type="numbering" w:customStyle="1" w:styleId="WW8Num7">
    <w:name w:val="WW8Num7"/>
    <w:rsid w:val="00F11A33"/>
  </w:style>
  <w:style w:type="numbering" w:customStyle="1" w:styleId="WW8Num3">
    <w:name w:val="WW8Num3"/>
    <w:rsid w:val="00F11A33"/>
  </w:style>
  <w:style w:type="numbering" w:customStyle="1" w:styleId="WW8Num1">
    <w:name w:val="WW8Num1"/>
    <w:rsid w:val="00F11A33"/>
  </w:style>
  <w:style w:type="numbering" w:customStyle="1" w:styleId="WW8Num9">
    <w:name w:val="WW8Num9"/>
    <w:rsid w:val="00F11A33"/>
  </w:style>
  <w:style w:type="numbering" w:customStyle="1" w:styleId="WW8Num10">
    <w:name w:val="WW8Num10"/>
    <w:rsid w:val="00F11A33"/>
  </w:style>
  <w:style w:type="numbering" w:customStyle="1" w:styleId="WW8Num4">
    <w:name w:val="WW8Num4"/>
    <w:rsid w:val="00F11A33"/>
  </w:style>
  <w:style w:type="numbering" w:customStyle="1" w:styleId="WW8Num8">
    <w:name w:val="WW8Num8"/>
    <w:rsid w:val="00F11A33"/>
  </w:style>
  <w:style w:type="numbering" w:customStyle="1" w:styleId="WW8Num14">
    <w:name w:val="WW8Num14"/>
    <w:rsid w:val="00F11A33"/>
  </w:style>
  <w:style w:type="numbering" w:customStyle="1" w:styleId="WW8Num11">
    <w:name w:val="WW8Num11"/>
    <w:rsid w:val="00F11A33"/>
  </w:style>
  <w:style w:type="numbering" w:customStyle="1" w:styleId="WW8Num12">
    <w:name w:val="WW8Num12"/>
    <w:rsid w:val="00F11A33"/>
  </w:style>
  <w:style w:type="numbering" w:customStyle="1" w:styleId="WW8Num13">
    <w:name w:val="WW8Num13"/>
    <w:rsid w:val="00F11A33"/>
  </w:style>
  <w:style w:type="numbering" w:customStyle="1" w:styleId="WW8Num2">
    <w:name w:val="WW8Num2"/>
    <w:rsid w:val="00F11A33"/>
  </w:style>
  <w:style w:type="numbering" w:customStyle="1" w:styleId="WW8Num5">
    <w:name w:val="WW8Num5"/>
    <w:rsid w:val="00F11A33"/>
  </w:style>
  <w:style w:type="character" w:styleId="nfasis">
    <w:name w:val="Emphasis"/>
    <w:uiPriority w:val="20"/>
    <w:qFormat/>
    <w:rsid w:val="00F11A33"/>
    <w:rPr>
      <w:i/>
      <w:iCs/>
    </w:rPr>
  </w:style>
  <w:style w:type="character" w:customStyle="1" w:styleId="Ttulo2Car">
    <w:name w:val="Título 2 Car"/>
    <w:aliases w:val="Capítulos Car"/>
    <w:basedOn w:val="Fuentedeprrafopredeter"/>
    <w:uiPriority w:val="9"/>
    <w:rsid w:val="00F11A33"/>
    <w:rPr>
      <w:rFonts w:ascii="Times New Roman" w:eastAsia="Times New Roman" w:hAnsi="Times New Roman" w:cs="Times New Roman"/>
      <w:b/>
      <w:bCs/>
      <w:sz w:val="24"/>
      <w:szCs w:val="24"/>
      <w:lang w:val="es-ES"/>
    </w:rPr>
  </w:style>
  <w:style w:type="paragraph" w:styleId="Descripcin">
    <w:name w:val="caption"/>
    <w:basedOn w:val="Standard"/>
    <w:uiPriority w:val="35"/>
    <w:qFormat/>
    <w:rsid w:val="00F11A33"/>
    <w:pPr>
      <w:suppressLineNumbers/>
      <w:spacing w:before="120" w:after="120"/>
    </w:pPr>
    <w:rPr>
      <w:rFonts w:cs="Lohit Hindi"/>
      <w:i/>
      <w:iCs/>
      <w:sz w:val="24"/>
      <w:szCs w:val="24"/>
    </w:rPr>
  </w:style>
  <w:style w:type="character" w:customStyle="1" w:styleId="WW8Num9z2">
    <w:name w:val="WW8Num9z2"/>
    <w:rsid w:val="00F11A33"/>
  </w:style>
  <w:style w:type="character" w:customStyle="1" w:styleId="WW8Num9z3">
    <w:name w:val="WW8Num9z3"/>
    <w:rsid w:val="00F11A33"/>
    <w:rPr>
      <w:rFonts w:ascii="Symbol" w:hAnsi="Symbol"/>
    </w:rPr>
  </w:style>
  <w:style w:type="character" w:customStyle="1" w:styleId="WW8Num9z4">
    <w:name w:val="WW8Num9z4"/>
    <w:rsid w:val="00F11A33"/>
  </w:style>
  <w:style w:type="character" w:customStyle="1" w:styleId="WW8Num9z5">
    <w:name w:val="WW8Num9z5"/>
    <w:rsid w:val="00F11A33"/>
  </w:style>
  <w:style w:type="character" w:customStyle="1" w:styleId="WW8Num9z6">
    <w:name w:val="WW8Num9z6"/>
    <w:rsid w:val="00F11A33"/>
  </w:style>
  <w:style w:type="character" w:customStyle="1" w:styleId="WW8Num9z7">
    <w:name w:val="WW8Num9z7"/>
    <w:rsid w:val="00F11A33"/>
  </w:style>
  <w:style w:type="character" w:customStyle="1" w:styleId="WW8Num9z8">
    <w:name w:val="WW8Num9z8"/>
    <w:rsid w:val="00F11A33"/>
  </w:style>
  <w:style w:type="character" w:customStyle="1" w:styleId="WW8Num10z3">
    <w:name w:val="WW8Num10z3"/>
    <w:rsid w:val="00F11A33"/>
  </w:style>
  <w:style w:type="character" w:customStyle="1" w:styleId="WW8Num10z4">
    <w:name w:val="WW8Num10z4"/>
    <w:rsid w:val="00F11A33"/>
  </w:style>
  <w:style w:type="character" w:customStyle="1" w:styleId="WW8Num10z5">
    <w:name w:val="WW8Num10z5"/>
    <w:rsid w:val="00F11A33"/>
  </w:style>
  <w:style w:type="character" w:customStyle="1" w:styleId="WW8Num10z6">
    <w:name w:val="WW8Num10z6"/>
    <w:rsid w:val="00F11A33"/>
  </w:style>
  <w:style w:type="character" w:customStyle="1" w:styleId="WW8Num10z7">
    <w:name w:val="WW8Num10z7"/>
    <w:rsid w:val="00F11A33"/>
  </w:style>
  <w:style w:type="character" w:customStyle="1" w:styleId="WW8Num10z8">
    <w:name w:val="WW8Num10z8"/>
    <w:rsid w:val="00F11A33"/>
  </w:style>
  <w:style w:type="character" w:customStyle="1" w:styleId="WW8Num6z2">
    <w:name w:val="WW8Num6z2"/>
    <w:rsid w:val="00F11A33"/>
    <w:rPr>
      <w:rFonts w:ascii="Wingdings" w:hAnsi="Wingdings"/>
    </w:rPr>
  </w:style>
  <w:style w:type="character" w:customStyle="1" w:styleId="WW8Num12z3">
    <w:name w:val="WW8Num12z3"/>
    <w:rsid w:val="00F11A33"/>
    <w:rPr>
      <w:rFonts w:ascii="Symbol" w:hAnsi="Symbol"/>
    </w:rPr>
  </w:style>
  <w:style w:type="character" w:customStyle="1" w:styleId="WW8Num13z3">
    <w:name w:val="WW8Num13z3"/>
    <w:rsid w:val="00F11A33"/>
    <w:rPr>
      <w:rFonts w:ascii="Symbol" w:hAnsi="Symbol"/>
    </w:rPr>
  </w:style>
  <w:style w:type="character" w:customStyle="1" w:styleId="WW8Num15z3">
    <w:name w:val="WW8Num15z3"/>
    <w:rsid w:val="00F11A33"/>
    <w:rPr>
      <w:rFonts w:ascii="Symbol" w:hAnsi="Symbol"/>
    </w:rPr>
  </w:style>
  <w:style w:type="character" w:customStyle="1" w:styleId="WW8Num18z3">
    <w:name w:val="WW8Num18z3"/>
    <w:rsid w:val="00F11A33"/>
    <w:rPr>
      <w:rFonts w:ascii="Symbol" w:hAnsi="Symbol"/>
    </w:rPr>
  </w:style>
  <w:style w:type="character" w:customStyle="1" w:styleId="BulletSymbols">
    <w:name w:val="Bullet Symbols"/>
    <w:rsid w:val="00F11A33"/>
    <w:rPr>
      <w:rFonts w:ascii="OpenSymbol" w:eastAsia="Times New Roman" w:hAnsi="OpenSymbol"/>
    </w:rPr>
  </w:style>
  <w:style w:type="character" w:customStyle="1" w:styleId="TextoindependienteCar">
    <w:name w:val="Texto independiente Car"/>
    <w:basedOn w:val="Fuentedeprrafopredeter"/>
    <w:link w:val="Textoindependiente"/>
    <w:uiPriority w:val="1"/>
    <w:rsid w:val="00F11A33"/>
    <w:rPr>
      <w:rFonts w:ascii="Times New Roman" w:eastAsia="Times New Roman" w:hAnsi="Times New Roman" w:cs="Times New Roman"/>
      <w:sz w:val="24"/>
      <w:szCs w:val="24"/>
      <w:lang w:val="es-ES"/>
    </w:rPr>
  </w:style>
  <w:style w:type="numbering" w:customStyle="1" w:styleId="WW8Num41">
    <w:name w:val="WW8Num41"/>
    <w:rsid w:val="00F11A33"/>
  </w:style>
  <w:style w:type="character" w:customStyle="1" w:styleId="WW8Num11z3">
    <w:name w:val="WW8Num11z3"/>
    <w:rsid w:val="00F11A33"/>
  </w:style>
  <w:style w:type="character" w:customStyle="1" w:styleId="WW8Num11z4">
    <w:name w:val="WW8Num11z4"/>
    <w:rsid w:val="00F11A33"/>
  </w:style>
  <w:style w:type="character" w:customStyle="1" w:styleId="WW8Num11z5">
    <w:name w:val="WW8Num11z5"/>
    <w:rsid w:val="00F11A33"/>
  </w:style>
  <w:style w:type="character" w:customStyle="1" w:styleId="WW8Num11z6">
    <w:name w:val="WW8Num11z6"/>
    <w:rsid w:val="00F11A33"/>
  </w:style>
  <w:style w:type="character" w:customStyle="1" w:styleId="WW8Num11z7">
    <w:name w:val="WW8Num11z7"/>
    <w:rsid w:val="00F11A33"/>
  </w:style>
  <w:style w:type="character" w:customStyle="1" w:styleId="WW8Num11z8">
    <w:name w:val="WW8Num11z8"/>
    <w:rsid w:val="00F11A33"/>
  </w:style>
  <w:style w:type="character" w:customStyle="1" w:styleId="WW8Num7z2">
    <w:name w:val="WW8Num7z2"/>
    <w:rsid w:val="00F11A33"/>
    <w:rPr>
      <w:rFonts w:ascii="Wingdings" w:hAnsi="Wingdings"/>
    </w:rPr>
  </w:style>
  <w:style w:type="character" w:customStyle="1" w:styleId="WW8Num15z2">
    <w:name w:val="WW8Num15z2"/>
    <w:rsid w:val="00F11A33"/>
    <w:rPr>
      <w:rFonts w:ascii="Wingdings" w:hAnsi="Wingdings"/>
    </w:rPr>
  </w:style>
  <w:style w:type="character" w:customStyle="1" w:styleId="WW8Num20z1">
    <w:name w:val="WW8Num20z1"/>
    <w:rsid w:val="00F11A33"/>
    <w:rPr>
      <w:rFonts w:ascii="Courier New" w:hAnsi="Courier New"/>
    </w:rPr>
  </w:style>
  <w:style w:type="character" w:customStyle="1" w:styleId="WW8Num20z3">
    <w:name w:val="WW8Num20z3"/>
    <w:rsid w:val="00F11A33"/>
    <w:rPr>
      <w:rFonts w:ascii="Symbol" w:hAnsi="Symbol"/>
    </w:rPr>
  </w:style>
  <w:style w:type="character" w:customStyle="1" w:styleId="WW8Num21z1">
    <w:name w:val="WW8Num21z1"/>
    <w:rsid w:val="00F11A33"/>
  </w:style>
  <w:style w:type="character" w:customStyle="1" w:styleId="CarCar5">
    <w:name w:val="Car Car5"/>
    <w:rsid w:val="00F11A33"/>
    <w:rPr>
      <w:rFonts w:cs="Times New Roman"/>
      <w:sz w:val="20"/>
      <w:szCs w:val="20"/>
    </w:rPr>
  </w:style>
  <w:style w:type="character" w:customStyle="1" w:styleId="StrongEmphasis">
    <w:name w:val="Strong Emphasis"/>
    <w:rsid w:val="00F11A33"/>
    <w:rPr>
      <w:b/>
    </w:rPr>
  </w:style>
  <w:style w:type="character" w:customStyle="1" w:styleId="NumberingSymbols">
    <w:name w:val="Numbering Symbols"/>
    <w:rsid w:val="00F11A33"/>
  </w:style>
  <w:style w:type="table" w:styleId="Tablaconcuadrcula">
    <w:name w:val="Table Grid"/>
    <w:basedOn w:val="Tablanormal"/>
    <w:uiPriority w:val="39"/>
    <w:rsid w:val="00F11A33"/>
    <w:pPr>
      <w:widowControl/>
    </w:pPr>
    <w:rPr>
      <w:rFonts w:cs="Lohit Hindi"/>
      <w:sz w:val="20"/>
      <w:szCs w:val="20"/>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F11A33"/>
    <w:pPr>
      <w:widowControl/>
      <w:suppressAutoHyphens/>
    </w:pPr>
    <w:rPr>
      <w:rFonts w:ascii="Calibri" w:eastAsia="Calibri" w:hAnsi="Calibri"/>
      <w:lang w:val="es-ES" w:eastAsia="ar-SA"/>
    </w:rPr>
  </w:style>
  <w:style w:type="character" w:customStyle="1" w:styleId="SinespaciadoCar">
    <w:name w:val="Sin espaciado Car"/>
    <w:link w:val="Sinespaciado"/>
    <w:uiPriority w:val="1"/>
    <w:rsid w:val="00F11A33"/>
    <w:rPr>
      <w:rFonts w:ascii="Calibri" w:eastAsia="Calibri" w:hAnsi="Calibri" w:cs="Times New Roman"/>
      <w:lang w:val="es-ES" w:eastAsia="ar-SA"/>
    </w:rPr>
  </w:style>
  <w:style w:type="paragraph" w:styleId="Lista2">
    <w:name w:val="List 2"/>
    <w:basedOn w:val="Normal"/>
    <w:uiPriority w:val="99"/>
    <w:unhideWhenUsed/>
    <w:rsid w:val="00F11A33"/>
    <w:pPr>
      <w:suppressAutoHyphens/>
      <w:ind w:left="566" w:hanging="283"/>
      <w:contextualSpacing/>
      <w:textAlignment w:val="baseline"/>
    </w:pPr>
    <w:rPr>
      <w:rFonts w:cs="Mangal"/>
      <w:kern w:val="3"/>
      <w:sz w:val="24"/>
      <w:szCs w:val="21"/>
      <w:lang w:val="es-CO" w:eastAsia="zh-CN" w:bidi="hi-IN"/>
    </w:rPr>
  </w:style>
  <w:style w:type="paragraph" w:styleId="Lista3">
    <w:name w:val="List 3"/>
    <w:basedOn w:val="Normal"/>
    <w:uiPriority w:val="99"/>
    <w:unhideWhenUsed/>
    <w:rsid w:val="00F11A33"/>
    <w:pPr>
      <w:suppressAutoHyphens/>
      <w:ind w:left="849" w:hanging="283"/>
      <w:contextualSpacing/>
      <w:textAlignment w:val="baseline"/>
    </w:pPr>
    <w:rPr>
      <w:rFonts w:cs="Mangal"/>
      <w:kern w:val="3"/>
      <w:sz w:val="24"/>
      <w:szCs w:val="21"/>
      <w:lang w:val="es-CO" w:eastAsia="zh-CN" w:bidi="hi-IN"/>
    </w:rPr>
  </w:style>
  <w:style w:type="paragraph" w:styleId="Lista4">
    <w:name w:val="List 4"/>
    <w:basedOn w:val="Normal"/>
    <w:uiPriority w:val="99"/>
    <w:unhideWhenUsed/>
    <w:rsid w:val="00F11A33"/>
    <w:pPr>
      <w:suppressAutoHyphens/>
      <w:ind w:left="1132" w:hanging="283"/>
      <w:contextualSpacing/>
      <w:textAlignment w:val="baseline"/>
    </w:pPr>
    <w:rPr>
      <w:rFonts w:cs="Mangal"/>
      <w:kern w:val="3"/>
      <w:sz w:val="24"/>
      <w:szCs w:val="21"/>
      <w:lang w:val="es-CO" w:eastAsia="zh-CN" w:bidi="hi-IN"/>
    </w:rPr>
  </w:style>
  <w:style w:type="paragraph" w:styleId="Continuarlista">
    <w:name w:val="List Continue"/>
    <w:basedOn w:val="Normal"/>
    <w:uiPriority w:val="99"/>
    <w:unhideWhenUsed/>
    <w:rsid w:val="00F11A33"/>
    <w:pPr>
      <w:suppressAutoHyphens/>
      <w:spacing w:after="120"/>
      <w:ind w:left="283"/>
      <w:contextualSpacing/>
      <w:textAlignment w:val="baseline"/>
    </w:pPr>
    <w:rPr>
      <w:rFonts w:cs="Mangal"/>
      <w:kern w:val="3"/>
      <w:sz w:val="24"/>
      <w:szCs w:val="21"/>
      <w:lang w:val="es-CO" w:eastAsia="zh-CN" w:bidi="hi-IN"/>
    </w:rPr>
  </w:style>
  <w:style w:type="paragraph" w:customStyle="1" w:styleId="Normal1">
    <w:name w:val="Normal1"/>
    <w:rsid w:val="00F11A33"/>
    <w:pPr>
      <w:widowControl/>
      <w:suppressAutoHyphens/>
      <w:textAlignment w:val="baseline"/>
    </w:pPr>
    <w:rPr>
      <w:color w:val="00000A"/>
      <w:sz w:val="20"/>
      <w:szCs w:val="20"/>
      <w:lang w:val="es-CO" w:eastAsia="zh-CN"/>
    </w:rPr>
  </w:style>
  <w:style w:type="paragraph" w:styleId="Revisin">
    <w:name w:val="Revision"/>
    <w:hidden/>
    <w:uiPriority w:val="99"/>
    <w:semiHidden/>
    <w:rsid w:val="00F11A33"/>
    <w:pPr>
      <w:widowControl/>
    </w:pPr>
    <w:rPr>
      <w:rFonts w:cs="Mangal"/>
      <w:kern w:val="3"/>
      <w:sz w:val="24"/>
      <w:szCs w:val="21"/>
      <w:lang w:val="es-CO" w:eastAsia="zh-CN" w:bidi="hi-IN"/>
    </w:rPr>
  </w:style>
  <w:style w:type="paragraph" w:customStyle="1" w:styleId="paragraph">
    <w:name w:val="paragraph"/>
    <w:basedOn w:val="Normal"/>
    <w:rsid w:val="00F11A33"/>
    <w:pPr>
      <w:widowControl/>
      <w:spacing w:before="100" w:beforeAutospacing="1" w:after="100" w:afterAutospacing="1"/>
    </w:pPr>
    <w:rPr>
      <w:sz w:val="24"/>
      <w:szCs w:val="24"/>
      <w:lang w:val="es-419" w:eastAsia="es-419"/>
    </w:rPr>
  </w:style>
  <w:style w:type="character" w:customStyle="1" w:styleId="normaltextrun">
    <w:name w:val="normaltextrun"/>
    <w:basedOn w:val="Fuentedeprrafopredeter"/>
    <w:rsid w:val="00F11A33"/>
  </w:style>
  <w:style w:type="character" w:customStyle="1" w:styleId="eop">
    <w:name w:val="eop"/>
    <w:basedOn w:val="Fuentedeprrafopredeter"/>
    <w:rsid w:val="00F11A33"/>
  </w:style>
  <w:style w:type="character" w:customStyle="1" w:styleId="tabchar">
    <w:name w:val="tabchar"/>
    <w:basedOn w:val="Fuentedeprrafopredeter"/>
    <w:rsid w:val="00F11A33"/>
  </w:style>
  <w:style w:type="paragraph" w:customStyle="1" w:styleId="InviasNormal">
    <w:name w:val="Invias Normal"/>
    <w:basedOn w:val="Normal"/>
    <w:link w:val="InviasNormalCar"/>
    <w:qFormat/>
    <w:rsid w:val="00F11A33"/>
    <w:pPr>
      <w:widowControl/>
      <w:tabs>
        <w:tab w:val="left" w:pos="-142"/>
      </w:tabs>
      <w:adjustRightInd w:val="0"/>
      <w:spacing w:before="120" w:after="240"/>
    </w:pPr>
    <w:rPr>
      <w:rFonts w:ascii="Arial Narrow" w:hAnsi="Arial Narrow"/>
      <w:sz w:val="24"/>
      <w:szCs w:val="24"/>
      <w:lang w:val="x-none" w:eastAsia="es-ES"/>
    </w:rPr>
  </w:style>
  <w:style w:type="character" w:customStyle="1" w:styleId="InviasNormalCar">
    <w:name w:val="Invias Normal Car"/>
    <w:link w:val="InviasNormal"/>
    <w:locked/>
    <w:rsid w:val="00F11A33"/>
    <w:rPr>
      <w:rFonts w:ascii="Arial Narrow" w:eastAsia="Times New Roman" w:hAnsi="Arial Narrow" w:cs="Times New Roman"/>
      <w:sz w:val="24"/>
      <w:szCs w:val="24"/>
      <w:lang w:val="x-none" w:eastAsia="es-ES"/>
    </w:rPr>
  </w:style>
  <w:style w:type="paragraph" w:customStyle="1" w:styleId="Captulo9">
    <w:name w:val="Capítulo 9"/>
    <w:basedOn w:val="Normal"/>
    <w:qFormat/>
    <w:rsid w:val="00F11A33"/>
    <w:pPr>
      <w:widowControl/>
      <w:numPr>
        <w:numId w:val="1"/>
      </w:numPr>
      <w:spacing w:after="200" w:line="276" w:lineRule="auto"/>
      <w:contextualSpacing/>
    </w:pPr>
    <w:rPr>
      <w:rFonts w:ascii="Arial" w:eastAsia="Calibri" w:hAnsi="Arial" w:cs="Arial"/>
      <w:b/>
      <w:bCs/>
      <w:color w:val="4A442A" w:themeColor="background2" w:themeShade="40"/>
      <w:sz w:val="20"/>
      <w:szCs w:val="20"/>
      <w:lang w:val="es-CO"/>
    </w:rPr>
  </w:style>
  <w:style w:type="character" w:customStyle="1" w:styleId="PrrafodelistaCar">
    <w:name w:val="Párrafo de lista Car"/>
    <w:aliases w:val="Fotografía Car,Bullet List Car,FooterText Car,numbered Car,Paragraphe de liste1 Car,lp1 Car,Scitum normal Car,HOJA Car,Bolita Car,Párrafo de lista4 Car,BOLADEF Car,Párrafo de lista3 Car,Párrafo de lista21 Car,BOLA Car,Nivel 1 OS Car"/>
    <w:link w:val="Prrafodelista"/>
    <w:uiPriority w:val="34"/>
    <w:qFormat/>
    <w:rsid w:val="00F11A33"/>
    <w:rPr>
      <w:rFonts w:ascii="Times New Roman" w:eastAsia="Times New Roman" w:hAnsi="Times New Roman" w:cs="Times New Roman"/>
      <w:lang w:val="es-ES"/>
    </w:rPr>
  </w:style>
  <w:style w:type="paragraph" w:customStyle="1" w:styleId="Capitulo3">
    <w:name w:val="Capitulo 3"/>
    <w:basedOn w:val="Normal"/>
    <w:qFormat/>
    <w:rsid w:val="00F11A33"/>
    <w:pPr>
      <w:keepNext/>
      <w:widowControl/>
      <w:numPr>
        <w:numId w:val="2"/>
      </w:numPr>
      <w:spacing w:before="120" w:after="200" w:line="276" w:lineRule="auto"/>
      <w:outlineLvl w:val="1"/>
    </w:pPr>
    <w:rPr>
      <w:rFonts w:cs="Arial"/>
      <w:b/>
      <w:color w:val="000000"/>
      <w:sz w:val="24"/>
      <w:szCs w:val="20"/>
      <w:lang w:val="es-CO"/>
    </w:rPr>
  </w:style>
  <w:style w:type="table" w:styleId="Tabladelista2-nfasis3">
    <w:name w:val="List Table 2 Accent 3"/>
    <w:basedOn w:val="Tablanormal"/>
    <w:uiPriority w:val="47"/>
    <w:rsid w:val="00F11A33"/>
    <w:pPr>
      <w:widowControl/>
    </w:pPr>
    <w:rPr>
      <w:lang w:val="es-CO"/>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Capitulo1">
    <w:name w:val="Capitulo 1"/>
    <w:basedOn w:val="Normal"/>
    <w:qFormat/>
    <w:rsid w:val="00F11A33"/>
    <w:pPr>
      <w:keepNext/>
      <w:widowControl/>
      <w:spacing w:before="120" w:after="200" w:line="276" w:lineRule="auto"/>
      <w:ind w:left="720" w:hanging="360"/>
      <w:outlineLvl w:val="1"/>
    </w:pPr>
    <w:rPr>
      <w:rFonts w:cs="Arial"/>
      <w:b/>
      <w:color w:val="000000"/>
      <w:sz w:val="24"/>
      <w:szCs w:val="20"/>
      <w:lang w:val="es-CO"/>
    </w:rPr>
  </w:style>
  <w:style w:type="character" w:styleId="Mencinsinresolver">
    <w:name w:val="Unresolved Mention"/>
    <w:basedOn w:val="Fuentedeprrafopredeter"/>
    <w:uiPriority w:val="99"/>
    <w:unhideWhenUsed/>
    <w:rsid w:val="00F11A33"/>
    <w:rPr>
      <w:color w:val="605E5C"/>
      <w:shd w:val="clear" w:color="auto" w:fill="E1DFDD"/>
    </w:rPr>
  </w:style>
  <w:style w:type="paragraph" w:customStyle="1" w:styleId="Entidad-Capitulo">
    <w:name w:val="Entidad-Capitulo"/>
    <w:next w:val="Normal"/>
    <w:autoRedefine/>
    <w:uiPriority w:val="99"/>
    <w:qFormat/>
    <w:rsid w:val="00F11A33"/>
    <w:pPr>
      <w:keepNext/>
      <w:widowControl/>
      <w:tabs>
        <w:tab w:val="center" w:pos="4419"/>
      </w:tabs>
      <w:spacing w:before="240"/>
      <w:jc w:val="center"/>
      <w:outlineLvl w:val="0"/>
    </w:pPr>
    <w:rPr>
      <w:rFonts w:ascii="Arial" w:hAnsi="Arial" w:cs="Arial"/>
      <w:b/>
      <w:smallCaps/>
      <w:sz w:val="20"/>
      <w:szCs w:val="20"/>
      <w:lang w:val="es-CO" w:eastAsia="es-ES"/>
    </w:rPr>
  </w:style>
  <w:style w:type="paragraph" w:customStyle="1" w:styleId="Literales">
    <w:name w:val="Literales"/>
    <w:basedOn w:val="CaptulosTtulo2"/>
    <w:next w:val="Normal"/>
    <w:autoRedefine/>
    <w:uiPriority w:val="99"/>
    <w:qFormat/>
    <w:rsid w:val="00F11A33"/>
    <w:pPr>
      <w:keepNext/>
      <w:numPr>
        <w:numId w:val="12"/>
      </w:numPr>
      <w:spacing w:before="120" w:after="200" w:line="276" w:lineRule="auto"/>
      <w:outlineLvl w:val="1"/>
    </w:pPr>
    <w:rPr>
      <w:rFonts w:cs="Arial"/>
      <w:b/>
      <w:color w:val="000000"/>
      <w:szCs w:val="20"/>
    </w:rPr>
  </w:style>
  <w:style w:type="numbering" w:customStyle="1" w:styleId="Estilo1">
    <w:name w:val="Estilo1"/>
    <w:uiPriority w:val="99"/>
    <w:rsid w:val="00F11A33"/>
    <w:pPr>
      <w:numPr>
        <w:numId w:val="28"/>
      </w:numPr>
    </w:pPr>
  </w:style>
  <w:style w:type="paragraph" w:customStyle="1" w:styleId="CaptulosTtulo2">
    <w:name w:val="Capítulos  (Título 2)"/>
    <w:basedOn w:val="Normal"/>
    <w:rsid w:val="00F11A33"/>
    <w:pPr>
      <w:widowControl/>
    </w:pPr>
    <w:rPr>
      <w:sz w:val="24"/>
      <w:szCs w:val="24"/>
      <w:lang w:val="es-CO"/>
    </w:rPr>
  </w:style>
  <w:style w:type="paragraph" w:customStyle="1" w:styleId="SeccionesTtulo3">
    <w:name w:val="Secciones  (Título 3)"/>
    <w:basedOn w:val="Normal"/>
    <w:rsid w:val="00F11A33"/>
    <w:pPr>
      <w:widowControl/>
    </w:pPr>
    <w:rPr>
      <w:sz w:val="24"/>
      <w:szCs w:val="24"/>
      <w:lang w:val="es-CO"/>
    </w:rPr>
  </w:style>
  <w:style w:type="paragraph" w:customStyle="1" w:styleId="Invias-VietaAlfabetica">
    <w:name w:val="Invias-Viñeta Alfabetica"/>
    <w:next w:val="Normal"/>
    <w:uiPriority w:val="99"/>
    <w:qFormat/>
    <w:rsid w:val="00F11A33"/>
    <w:pPr>
      <w:widowControl/>
      <w:numPr>
        <w:numId w:val="4"/>
      </w:numPr>
      <w:spacing w:before="240" w:after="240"/>
      <w:jc w:val="both"/>
    </w:pPr>
    <w:rPr>
      <w:rFonts w:ascii="Arial Narrow" w:hAnsi="Arial Narrow"/>
      <w:sz w:val="24"/>
      <w:szCs w:val="24"/>
      <w:lang w:val="es-CO" w:eastAsia="es-ES"/>
    </w:rPr>
  </w:style>
  <w:style w:type="paragraph" w:customStyle="1" w:styleId="Invias-VietaNumerada">
    <w:name w:val="Invias-Viñeta Numerada"/>
    <w:next w:val="Normal"/>
    <w:link w:val="Invias-VietaNumeradaCar"/>
    <w:uiPriority w:val="99"/>
    <w:qFormat/>
    <w:rsid w:val="00F11A33"/>
    <w:pPr>
      <w:widowControl/>
      <w:spacing w:before="240" w:after="120"/>
      <w:jc w:val="both"/>
    </w:pPr>
    <w:rPr>
      <w:rFonts w:ascii="Arial Narrow" w:hAnsi="Arial Narrow"/>
      <w:sz w:val="24"/>
      <w:szCs w:val="24"/>
      <w:lang w:eastAsia="es-ES"/>
    </w:rPr>
  </w:style>
  <w:style w:type="character" w:customStyle="1" w:styleId="Invias-VietaNumeradaCar">
    <w:name w:val="Invias-Viñeta Numerada Car"/>
    <w:link w:val="Invias-VietaNumerada"/>
    <w:uiPriority w:val="99"/>
    <w:locked/>
    <w:rsid w:val="00F11A33"/>
    <w:rPr>
      <w:rFonts w:ascii="Arial Narrow" w:eastAsia="Times New Roman" w:hAnsi="Arial Narrow" w:cs="Times New Roman"/>
      <w:sz w:val="24"/>
      <w:szCs w:val="24"/>
      <w:lang w:eastAsia="es-ES"/>
    </w:rPr>
  </w:style>
  <w:style w:type="paragraph" w:styleId="TtuloTDC">
    <w:name w:val="TOC Heading"/>
    <w:next w:val="Normal"/>
    <w:uiPriority w:val="39"/>
    <w:unhideWhenUsed/>
    <w:qFormat/>
    <w:rsid w:val="00F11A33"/>
    <w:pPr>
      <w:keepNext/>
      <w:keepLines/>
      <w:widowControl/>
      <w:spacing w:before="240"/>
    </w:pPr>
    <w:rPr>
      <w:rFonts w:asciiTheme="majorHAnsi" w:eastAsiaTheme="majorEastAsia" w:hAnsiTheme="majorHAnsi" w:cstheme="majorBidi"/>
      <w:color w:val="365F91" w:themeColor="accent1" w:themeShade="BF"/>
      <w:sz w:val="32"/>
      <w:szCs w:val="32"/>
      <w:lang w:val="es-CO"/>
    </w:rPr>
  </w:style>
  <w:style w:type="paragraph" w:styleId="TDC1">
    <w:name w:val="toc 1"/>
    <w:basedOn w:val="Normal"/>
    <w:next w:val="Normal"/>
    <w:autoRedefine/>
    <w:uiPriority w:val="39"/>
    <w:unhideWhenUsed/>
    <w:rsid w:val="00F11A33"/>
    <w:pPr>
      <w:widowControl/>
      <w:tabs>
        <w:tab w:val="right" w:leader="dot" w:pos="8828"/>
      </w:tabs>
      <w:spacing w:after="100" w:line="276" w:lineRule="auto"/>
    </w:pPr>
    <w:rPr>
      <w:rFonts w:ascii="Arial" w:hAnsi="Arial" w:cs="Arial"/>
      <w:b/>
      <w:smallCaps/>
      <w:noProof/>
      <w:sz w:val="20"/>
      <w:szCs w:val="20"/>
      <w:lang w:val="es-CO" w:eastAsia="es-ES"/>
    </w:rPr>
  </w:style>
  <w:style w:type="paragraph" w:styleId="TDC2">
    <w:name w:val="toc 2"/>
    <w:basedOn w:val="Normal"/>
    <w:next w:val="Normal"/>
    <w:autoRedefine/>
    <w:uiPriority w:val="39"/>
    <w:unhideWhenUsed/>
    <w:rsid w:val="00F11A33"/>
    <w:pPr>
      <w:widowControl/>
      <w:tabs>
        <w:tab w:val="left" w:pos="600"/>
        <w:tab w:val="left" w:pos="880"/>
        <w:tab w:val="right" w:leader="dot" w:pos="8828"/>
      </w:tabs>
      <w:spacing w:after="100"/>
      <w:ind w:left="200"/>
    </w:pPr>
    <w:rPr>
      <w:rFonts w:ascii="Arial" w:eastAsia="Arial" w:hAnsi="Arial" w:cs="Arial"/>
      <w:bCs/>
      <w:smallCaps/>
      <w:noProof/>
      <w:sz w:val="20"/>
      <w:szCs w:val="20"/>
      <w:lang w:val="es-CO" w:eastAsia="es-ES"/>
    </w:rPr>
  </w:style>
  <w:style w:type="paragraph" w:styleId="TDC3">
    <w:name w:val="toc 3"/>
    <w:basedOn w:val="Normal"/>
    <w:next w:val="Normal"/>
    <w:autoRedefine/>
    <w:uiPriority w:val="39"/>
    <w:unhideWhenUsed/>
    <w:rsid w:val="00F11A33"/>
    <w:pPr>
      <w:widowControl/>
      <w:tabs>
        <w:tab w:val="left" w:pos="990"/>
        <w:tab w:val="left" w:pos="1320"/>
        <w:tab w:val="right" w:leader="dot" w:pos="8828"/>
      </w:tabs>
      <w:spacing w:after="100"/>
      <w:ind w:left="440"/>
    </w:pPr>
    <w:rPr>
      <w:rFonts w:ascii="Arial" w:eastAsia="Arial" w:hAnsi="Arial" w:cs="Arial"/>
      <w:noProof/>
      <w:sz w:val="20"/>
      <w:szCs w:val="20"/>
      <w:lang w:val="es-CO"/>
    </w:rPr>
  </w:style>
  <w:style w:type="character" w:customStyle="1" w:styleId="Mencinsinresolver1">
    <w:name w:val="Mención sin resolver1"/>
    <w:basedOn w:val="Fuentedeprrafopredeter"/>
    <w:uiPriority w:val="99"/>
    <w:semiHidden/>
    <w:unhideWhenUsed/>
    <w:rsid w:val="00F11A33"/>
    <w:rPr>
      <w:color w:val="808080"/>
      <w:shd w:val="clear" w:color="auto" w:fill="E6E6E6"/>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 Cha"/>
    <w:basedOn w:val="Normal"/>
    <w:link w:val="TextonotapieCar"/>
    <w:uiPriority w:val="99"/>
    <w:rsid w:val="00F11A33"/>
    <w:pPr>
      <w:widowControl/>
    </w:pPr>
    <w:rPr>
      <w:sz w:val="24"/>
      <w:szCs w:val="20"/>
      <w:lang w:eastAsia="es-ES"/>
    </w:rPr>
  </w:style>
  <w:style w:type="character" w:customStyle="1" w:styleId="TextonotapieCar">
    <w:name w:val="Texto nota pie Car"/>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F11A33"/>
    <w:rPr>
      <w:rFonts w:ascii="Times New Roman" w:eastAsia="Times New Roman" w:hAnsi="Times New Roman" w:cs="Times New Roman"/>
      <w:sz w:val="24"/>
      <w:szCs w:val="20"/>
      <w:lang w:val="es-ES" w:eastAsia="es-ES"/>
    </w:rPr>
  </w:style>
  <w:style w:type="character" w:customStyle="1" w:styleId="spelle">
    <w:name w:val="spelle"/>
    <w:basedOn w:val="Fuentedeprrafopredeter"/>
    <w:rsid w:val="00F11A33"/>
  </w:style>
  <w:style w:type="paragraph" w:customStyle="1" w:styleId="Capitulo2">
    <w:name w:val="Capitulo 2"/>
    <w:basedOn w:val="Literales"/>
    <w:autoRedefine/>
    <w:qFormat/>
    <w:rsid w:val="00F11A33"/>
    <w:pPr>
      <w:numPr>
        <w:numId w:val="0"/>
      </w:numPr>
      <w:spacing w:line="240" w:lineRule="auto"/>
      <w:jc w:val="both"/>
    </w:pPr>
    <w:rPr>
      <w:rFonts w:ascii="Arial" w:hAnsi="Arial"/>
      <w:color w:val="auto"/>
      <w:sz w:val="20"/>
      <w:szCs w:val="16"/>
    </w:rPr>
  </w:style>
  <w:style w:type="paragraph" w:customStyle="1" w:styleId="Captulo4">
    <w:name w:val="Capítulo 4"/>
    <w:basedOn w:val="Normal"/>
    <w:autoRedefine/>
    <w:qFormat/>
    <w:rsid w:val="00F11A33"/>
    <w:pPr>
      <w:widowControl/>
      <w:tabs>
        <w:tab w:val="left" w:pos="851"/>
      </w:tabs>
      <w:spacing w:after="200" w:line="276" w:lineRule="auto"/>
      <w:ind w:left="425"/>
      <w:contextualSpacing/>
      <w:outlineLvl w:val="2"/>
    </w:pPr>
    <w:rPr>
      <w:rFonts w:eastAsia="Arial" w:cs="Arial"/>
      <w:b/>
      <w:sz w:val="24"/>
      <w:szCs w:val="20"/>
      <w:lang w:val="es-CO"/>
    </w:rPr>
  </w:style>
  <w:style w:type="paragraph" w:customStyle="1" w:styleId="Captulo7">
    <w:name w:val="Capítulo 7"/>
    <w:basedOn w:val="Prrafodelista"/>
    <w:qFormat/>
    <w:rsid w:val="00F11A33"/>
    <w:pPr>
      <w:widowControl/>
      <w:numPr>
        <w:numId w:val="10"/>
      </w:numPr>
      <w:spacing w:after="200" w:line="276" w:lineRule="auto"/>
      <w:contextualSpacing/>
      <w:jc w:val="left"/>
    </w:pPr>
    <w:rPr>
      <w:rFonts w:ascii="Arial" w:eastAsia="Calibri" w:hAnsi="Arial" w:cs="Arial"/>
      <w:b/>
      <w:bCs/>
      <w:color w:val="1C1C1C"/>
      <w:sz w:val="20"/>
      <w:szCs w:val="20"/>
      <w:lang w:val="es-CO"/>
    </w:rPr>
  </w:style>
  <w:style w:type="paragraph" w:customStyle="1" w:styleId="Captulo5">
    <w:name w:val="Capítulo 5"/>
    <w:basedOn w:val="Prrafodelista"/>
    <w:qFormat/>
    <w:rsid w:val="00F11A33"/>
    <w:pPr>
      <w:widowControl/>
      <w:numPr>
        <w:numId w:val="11"/>
      </w:numPr>
      <w:spacing w:after="200" w:line="276" w:lineRule="auto"/>
      <w:contextualSpacing/>
      <w:jc w:val="left"/>
    </w:pPr>
    <w:rPr>
      <w:rFonts w:ascii="Arial" w:eastAsia="Calibri" w:hAnsi="Arial" w:cs="Arial"/>
      <w:b/>
      <w:bCs/>
      <w:color w:val="1C1C1C"/>
      <w:sz w:val="20"/>
      <w:szCs w:val="20"/>
      <w:lang w:val="es-CO"/>
    </w:rPr>
  </w:style>
  <w:style w:type="character" w:styleId="Hipervnculovisitado">
    <w:name w:val="FollowedHyperlink"/>
    <w:basedOn w:val="Fuentedeprrafopredeter"/>
    <w:uiPriority w:val="99"/>
    <w:semiHidden/>
    <w:unhideWhenUsed/>
    <w:rsid w:val="00F11A33"/>
    <w:rPr>
      <w:color w:val="800080" w:themeColor="followedHyperlink"/>
      <w:u w:val="single"/>
    </w:rPr>
  </w:style>
  <w:style w:type="paragraph" w:customStyle="1" w:styleId="Invias-Titulo1">
    <w:name w:val="Invias-Titulo 1"/>
    <w:next w:val="Normal"/>
    <w:autoRedefine/>
    <w:uiPriority w:val="99"/>
    <w:qFormat/>
    <w:rsid w:val="00F11A33"/>
    <w:pPr>
      <w:keepNext/>
      <w:widowControl/>
      <w:spacing w:before="120" w:after="240"/>
      <w:ind w:left="708"/>
      <w:jc w:val="both"/>
      <w:outlineLvl w:val="1"/>
    </w:pPr>
    <w:rPr>
      <w:rFonts w:ascii="Arial Narrow" w:hAnsi="Arial Narrow" w:cs="Arial"/>
      <w:b/>
      <w:sz w:val="24"/>
      <w:szCs w:val="24"/>
      <w:lang w:val="es-CO"/>
    </w:rPr>
  </w:style>
  <w:style w:type="character" w:customStyle="1" w:styleId="Mencinsinresolver2">
    <w:name w:val="Mención sin resolver2"/>
    <w:basedOn w:val="Fuentedeprrafopredeter"/>
    <w:uiPriority w:val="99"/>
    <w:semiHidden/>
    <w:unhideWhenUsed/>
    <w:rsid w:val="00F11A33"/>
    <w:rPr>
      <w:color w:val="808080"/>
      <w:shd w:val="clear" w:color="auto" w:fill="E6E6E6"/>
    </w:rPr>
  </w:style>
  <w:style w:type="character" w:styleId="Textodelmarcadordeposicin">
    <w:name w:val="Placeholder Text"/>
    <w:basedOn w:val="Fuentedeprrafopredeter"/>
    <w:uiPriority w:val="99"/>
    <w:semiHidden/>
    <w:rsid w:val="00F11A33"/>
    <w:rPr>
      <w:color w:val="808080"/>
    </w:rPr>
  </w:style>
  <w:style w:type="character" w:customStyle="1" w:styleId="Mencinsinresolver3">
    <w:name w:val="Mención sin resolver3"/>
    <w:basedOn w:val="Fuentedeprrafopredeter"/>
    <w:uiPriority w:val="99"/>
    <w:semiHidden/>
    <w:unhideWhenUsed/>
    <w:rsid w:val="00F11A33"/>
    <w:rPr>
      <w:color w:val="808080"/>
      <w:shd w:val="clear" w:color="auto" w:fill="E6E6E6"/>
    </w:rPr>
  </w:style>
  <w:style w:type="character" w:customStyle="1" w:styleId="Mencinsinresolver30">
    <w:name w:val="Mención sin resolver30"/>
    <w:basedOn w:val="Fuentedeprrafopredeter"/>
    <w:uiPriority w:val="99"/>
    <w:semiHidden/>
    <w:unhideWhenUsed/>
    <w:rsid w:val="00F11A33"/>
    <w:rPr>
      <w:color w:val="808080"/>
      <w:shd w:val="clear" w:color="auto" w:fill="E6E6E6"/>
    </w:rPr>
  </w:style>
  <w:style w:type="paragraph" w:customStyle="1" w:styleId="clusulas">
    <w:name w:val="cláusulas"/>
    <w:basedOn w:val="Normal"/>
    <w:qFormat/>
    <w:rsid w:val="00F11A33"/>
    <w:pPr>
      <w:widowControl/>
      <w:numPr>
        <w:numId w:val="14"/>
      </w:numPr>
      <w:spacing w:before="120" w:after="120"/>
    </w:pPr>
    <w:rPr>
      <w:rFonts w:asciiTheme="minorHAnsi" w:hAnsiTheme="minorHAnsi"/>
      <w:b/>
      <w:sz w:val="24"/>
      <w:szCs w:val="24"/>
      <w:lang w:val="es-CO"/>
    </w:rPr>
  </w:style>
  <w:style w:type="paragraph" w:customStyle="1" w:styleId="m-423956075009029384invias-capitulo">
    <w:name w:val="m_-423956075009029384invias-capitulo"/>
    <w:basedOn w:val="Normal"/>
    <w:rsid w:val="00F11A33"/>
    <w:pPr>
      <w:widowControl/>
      <w:spacing w:before="100" w:beforeAutospacing="1" w:after="100" w:afterAutospacing="1"/>
    </w:pPr>
    <w:rPr>
      <w:sz w:val="24"/>
      <w:szCs w:val="24"/>
      <w:lang w:val="es-CO"/>
    </w:rPr>
  </w:style>
  <w:style w:type="paragraph" w:customStyle="1" w:styleId="m-423956075009029384invias-titulo1">
    <w:name w:val="m_-423956075009029384invias-titulo1"/>
    <w:basedOn w:val="Normal"/>
    <w:rsid w:val="00F11A33"/>
    <w:pPr>
      <w:widowControl/>
      <w:spacing w:before="100" w:beforeAutospacing="1" w:after="100" w:afterAutospacing="1"/>
    </w:pPr>
    <w:rPr>
      <w:sz w:val="24"/>
      <w:szCs w:val="24"/>
      <w:lang w:val="es-CO"/>
    </w:rPr>
  </w:style>
  <w:style w:type="paragraph" w:customStyle="1" w:styleId="Capitulo8">
    <w:name w:val="Capitulo 8"/>
    <w:basedOn w:val="Captulo7"/>
    <w:qFormat/>
    <w:rsid w:val="00F11A33"/>
    <w:pPr>
      <w:numPr>
        <w:numId w:val="0"/>
      </w:numPr>
      <w:tabs>
        <w:tab w:val="num" w:pos="720"/>
      </w:tabs>
      <w:ind w:left="720" w:hanging="720"/>
    </w:pPr>
  </w:style>
  <w:style w:type="character" w:customStyle="1" w:styleId="Mencinsinresolver300">
    <w:name w:val="Mención sin resolver300"/>
    <w:basedOn w:val="Fuentedeprrafopredeter"/>
    <w:uiPriority w:val="99"/>
    <w:semiHidden/>
    <w:unhideWhenUsed/>
    <w:rsid w:val="00F11A33"/>
    <w:rPr>
      <w:color w:val="808080"/>
      <w:shd w:val="clear" w:color="auto" w:fill="E6E6E6"/>
    </w:rPr>
  </w:style>
  <w:style w:type="character" w:customStyle="1" w:styleId="Mencinsinresolver3000">
    <w:name w:val="Mención sin resolver3000"/>
    <w:basedOn w:val="Fuentedeprrafopredeter"/>
    <w:uiPriority w:val="99"/>
    <w:semiHidden/>
    <w:unhideWhenUsed/>
    <w:rsid w:val="00F11A33"/>
    <w:rPr>
      <w:color w:val="808080"/>
      <w:shd w:val="clear" w:color="auto" w:fill="E6E6E6"/>
    </w:rPr>
  </w:style>
  <w:style w:type="character" w:customStyle="1" w:styleId="Mencinsinresolver30000">
    <w:name w:val="Mención sin resolver30000"/>
    <w:basedOn w:val="Fuentedeprrafopredeter"/>
    <w:uiPriority w:val="99"/>
    <w:semiHidden/>
    <w:unhideWhenUsed/>
    <w:rsid w:val="00F11A33"/>
    <w:rPr>
      <w:color w:val="808080"/>
      <w:shd w:val="clear" w:color="auto" w:fill="E6E6E6"/>
    </w:rPr>
  </w:style>
  <w:style w:type="character" w:customStyle="1" w:styleId="Mencinsinresolver4">
    <w:name w:val="Mención sin resolver4"/>
    <w:basedOn w:val="Fuentedeprrafopredeter"/>
    <w:uiPriority w:val="99"/>
    <w:rsid w:val="00F11A33"/>
    <w:rPr>
      <w:color w:val="605E5C"/>
      <w:shd w:val="clear" w:color="auto" w:fill="E1DFDD"/>
    </w:rPr>
  </w:style>
  <w:style w:type="paragraph" w:styleId="TDC4">
    <w:name w:val="toc 4"/>
    <w:basedOn w:val="Normal"/>
    <w:next w:val="Normal"/>
    <w:autoRedefine/>
    <w:uiPriority w:val="39"/>
    <w:unhideWhenUsed/>
    <w:rsid w:val="00F11A33"/>
    <w:pPr>
      <w:widowControl/>
      <w:spacing w:after="100"/>
      <w:ind w:left="660"/>
    </w:pPr>
    <w:rPr>
      <w:rFonts w:asciiTheme="minorHAnsi" w:eastAsiaTheme="minorEastAsia" w:hAnsiTheme="minorHAnsi"/>
      <w:szCs w:val="24"/>
      <w:lang w:val="es-CO"/>
    </w:rPr>
  </w:style>
  <w:style w:type="paragraph" w:styleId="TDC5">
    <w:name w:val="toc 5"/>
    <w:basedOn w:val="Normal"/>
    <w:next w:val="Normal"/>
    <w:autoRedefine/>
    <w:uiPriority w:val="39"/>
    <w:unhideWhenUsed/>
    <w:rsid w:val="00F11A33"/>
    <w:pPr>
      <w:widowControl/>
      <w:spacing w:after="100"/>
      <w:ind w:left="880"/>
    </w:pPr>
    <w:rPr>
      <w:rFonts w:asciiTheme="minorHAnsi" w:eastAsiaTheme="minorEastAsia" w:hAnsiTheme="minorHAnsi"/>
      <w:szCs w:val="24"/>
      <w:lang w:val="es-CO"/>
    </w:rPr>
  </w:style>
  <w:style w:type="paragraph" w:styleId="TDC6">
    <w:name w:val="toc 6"/>
    <w:basedOn w:val="Normal"/>
    <w:next w:val="Normal"/>
    <w:autoRedefine/>
    <w:uiPriority w:val="39"/>
    <w:unhideWhenUsed/>
    <w:rsid w:val="00F11A33"/>
    <w:pPr>
      <w:widowControl/>
      <w:spacing w:after="100"/>
      <w:ind w:left="1100"/>
    </w:pPr>
    <w:rPr>
      <w:rFonts w:asciiTheme="minorHAnsi" w:eastAsiaTheme="minorEastAsia" w:hAnsiTheme="minorHAnsi"/>
      <w:szCs w:val="24"/>
      <w:lang w:val="es-CO"/>
    </w:rPr>
  </w:style>
  <w:style w:type="paragraph" w:styleId="TDC7">
    <w:name w:val="toc 7"/>
    <w:basedOn w:val="Normal"/>
    <w:next w:val="Normal"/>
    <w:autoRedefine/>
    <w:uiPriority w:val="39"/>
    <w:unhideWhenUsed/>
    <w:rsid w:val="00F11A33"/>
    <w:pPr>
      <w:widowControl/>
      <w:spacing w:after="100"/>
      <w:ind w:left="1320"/>
    </w:pPr>
    <w:rPr>
      <w:rFonts w:asciiTheme="minorHAnsi" w:eastAsiaTheme="minorEastAsia" w:hAnsiTheme="minorHAnsi"/>
      <w:szCs w:val="24"/>
      <w:lang w:val="es-CO"/>
    </w:rPr>
  </w:style>
  <w:style w:type="paragraph" w:styleId="TDC8">
    <w:name w:val="toc 8"/>
    <w:basedOn w:val="Normal"/>
    <w:next w:val="Normal"/>
    <w:autoRedefine/>
    <w:uiPriority w:val="39"/>
    <w:unhideWhenUsed/>
    <w:rsid w:val="00F11A33"/>
    <w:pPr>
      <w:widowControl/>
      <w:spacing w:after="100"/>
      <w:ind w:left="1540"/>
    </w:pPr>
    <w:rPr>
      <w:rFonts w:asciiTheme="minorHAnsi" w:eastAsiaTheme="minorEastAsia" w:hAnsiTheme="minorHAnsi"/>
      <w:szCs w:val="24"/>
      <w:lang w:val="es-CO"/>
    </w:rPr>
  </w:style>
  <w:style w:type="paragraph" w:styleId="TDC9">
    <w:name w:val="toc 9"/>
    <w:basedOn w:val="Normal"/>
    <w:next w:val="Normal"/>
    <w:autoRedefine/>
    <w:uiPriority w:val="39"/>
    <w:unhideWhenUsed/>
    <w:rsid w:val="00F11A33"/>
    <w:pPr>
      <w:widowControl/>
      <w:spacing w:after="100"/>
      <w:ind w:left="1760"/>
    </w:pPr>
    <w:rPr>
      <w:rFonts w:asciiTheme="minorHAnsi" w:eastAsiaTheme="minorEastAsia" w:hAnsiTheme="minorHAnsi"/>
      <w:szCs w:val="24"/>
      <w:lang w:val="es-CO"/>
    </w:rPr>
  </w:style>
  <w:style w:type="table" w:styleId="Tabladecuadrcula4">
    <w:name w:val="Grid Table 4"/>
    <w:basedOn w:val="Tablanormal"/>
    <w:uiPriority w:val="49"/>
    <w:rsid w:val="00F11A33"/>
    <w:pPr>
      <w:widowControl/>
    </w:pPr>
    <w:rPr>
      <w:lang w:val="es-C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1clara">
    <w:name w:val="Grid Table 1 Light"/>
    <w:basedOn w:val="Tablanormal"/>
    <w:uiPriority w:val="46"/>
    <w:rsid w:val="00F11A33"/>
    <w:pPr>
      <w:widowControl/>
    </w:pPr>
    <w:rPr>
      <w:lang w:val="es-CO"/>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anormal5">
    <w:name w:val="Plain Table 5"/>
    <w:basedOn w:val="Tablanormal"/>
    <w:uiPriority w:val="45"/>
    <w:rsid w:val="00F11A33"/>
    <w:pPr>
      <w:widowControl/>
    </w:pPr>
    <w:rPr>
      <w:lang w:val="es-CO"/>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normal4">
    <w:name w:val="Plain Table 4"/>
    <w:basedOn w:val="Tablanormal"/>
    <w:uiPriority w:val="44"/>
    <w:rsid w:val="00F11A33"/>
    <w:pPr>
      <w:widowControl/>
    </w:pPr>
    <w:rPr>
      <w:lang w:val="es-C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3">
    <w:name w:val="Plain Table 3"/>
    <w:basedOn w:val="Tablanormal"/>
    <w:uiPriority w:val="43"/>
    <w:rsid w:val="00F11A33"/>
    <w:pPr>
      <w:widowControl/>
    </w:pPr>
    <w:rPr>
      <w:lang w:val="es-CO"/>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2">
    <w:name w:val="Plain Table 2"/>
    <w:basedOn w:val="Tablaprofesional"/>
    <w:uiPriority w:val="42"/>
    <w:rsid w:val="00F11A33"/>
    <w:pPr>
      <w:spacing w:after="0" w:line="240" w:lineRule="auto"/>
    </w:pPr>
    <w:tblPr>
      <w:tblStyleRowBandSize w:val="1"/>
      <w:tblStyleColBandSize w:val="1"/>
      <w:tblBorders>
        <w:top w:val="single" w:sz="4" w:space="0" w:color="7F7F7F" w:themeColor="text1" w:themeTint="80"/>
        <w:left w:val="none" w:sz="0" w:space="0" w:color="auto"/>
        <w:bottom w:val="single" w:sz="4" w:space="0" w:color="7F7F7F" w:themeColor="text1" w:themeTint="80"/>
        <w:right w:val="none" w:sz="0" w:space="0" w:color="auto"/>
        <w:insideH w:val="none" w:sz="0" w:space="0" w:color="auto"/>
        <w:insideV w:val="none" w:sz="0" w:space="0" w:color="auto"/>
      </w:tblBorders>
    </w:tblPr>
    <w:tcPr>
      <w:shd w:val="clear" w:color="auto" w:fill="auto"/>
    </w:tcPr>
    <w:tblStylePr w:type="firstRow">
      <w:rPr>
        <w:b/>
        <w:bCs/>
        <w:color w:val="auto"/>
      </w:rPr>
      <w:tblPr/>
      <w:tcPr>
        <w:tcBorders>
          <w:bottom w:val="single" w:sz="4" w:space="0" w:color="7F7F7F" w:themeColor="text1" w:themeTint="80"/>
          <w:tl2br w:val="none" w:sz="0" w:space="0" w:color="auto"/>
          <w:tr2bl w:val="none" w:sz="0" w:space="0" w:color="auto"/>
        </w:tcBorders>
        <w:shd w:val="solid" w:color="000000" w:fill="FFFFFF"/>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concuadrculaclara">
    <w:name w:val="Grid Table Light"/>
    <w:basedOn w:val="Tablanormal"/>
    <w:uiPriority w:val="40"/>
    <w:rsid w:val="00F11A33"/>
    <w:pPr>
      <w:widowControl/>
    </w:pPr>
    <w:rPr>
      <w:lang w:val="es-C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profesional">
    <w:name w:val="Table Professional"/>
    <w:basedOn w:val="Tablanormal"/>
    <w:uiPriority w:val="99"/>
    <w:semiHidden/>
    <w:unhideWhenUsed/>
    <w:rsid w:val="00F11A33"/>
    <w:pPr>
      <w:widowControl/>
      <w:spacing w:after="160" w:line="259" w:lineRule="auto"/>
      <w:jc w:val="both"/>
    </w:pPr>
    <w:rPr>
      <w:lang w:val="es-C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anormal1">
    <w:name w:val="Plain Table 1"/>
    <w:basedOn w:val="Tablanormal"/>
    <w:uiPriority w:val="41"/>
    <w:rsid w:val="00F11A33"/>
    <w:pPr>
      <w:widowControl/>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Cuadrculadetablaclara1">
    <w:name w:val="Cuadrícula de tabla clara1"/>
    <w:basedOn w:val="Tablanormal"/>
    <w:next w:val="Tablaconcuadrculaclara"/>
    <w:uiPriority w:val="99"/>
    <w:rsid w:val="00F11A33"/>
    <w:pPr>
      <w:widowControl/>
    </w:pPr>
    <w:rPr>
      <w:rFonts w:ascii="Calibri" w:eastAsia="Calibri" w:hAnsi="Calibri"/>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Mencionar">
    <w:name w:val="Mention"/>
    <w:basedOn w:val="Fuentedeprrafopredeter"/>
    <w:uiPriority w:val="99"/>
    <w:unhideWhenUsed/>
    <w:rsid w:val="00F11A33"/>
    <w:rPr>
      <w:color w:val="2B579A"/>
      <w:shd w:val="clear" w:color="auto" w:fill="E1DFDD"/>
    </w:rPr>
  </w:style>
  <w:style w:type="table" w:customStyle="1" w:styleId="Tabladecuadrcula41">
    <w:name w:val="Tabla de cuadrícula 41"/>
    <w:basedOn w:val="Tablanormal"/>
    <w:next w:val="Tabladecuadrcula4"/>
    <w:uiPriority w:val="49"/>
    <w:rsid w:val="00F11A33"/>
    <w:pPr>
      <w:widowControl/>
    </w:pPr>
    <w:rPr>
      <w:rFonts w:ascii="Calibri" w:eastAsia="Calibri" w:hAnsi="Calibri"/>
      <w:lang w:val="es-CO"/>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ui-provider">
    <w:name w:val="ui-provider"/>
    <w:basedOn w:val="Fuentedeprrafopredeter"/>
    <w:rsid w:val="00F11A33"/>
  </w:style>
  <w:style w:type="character" w:customStyle="1" w:styleId="apple-converted-space">
    <w:name w:val="apple-converted-space"/>
    <w:basedOn w:val="Fuentedeprrafopredeter"/>
    <w:rsid w:val="00F11A33"/>
  </w:style>
  <w:style w:type="character" w:customStyle="1" w:styleId="cf01">
    <w:name w:val="cf01"/>
    <w:basedOn w:val="Fuentedeprrafopredeter"/>
    <w:rsid w:val="00F11A33"/>
    <w:rPr>
      <w:rFonts w:ascii="Segoe UI" w:hAnsi="Segoe UI" w:cs="Segoe UI" w:hint="default"/>
      <w:sz w:val="18"/>
      <w:szCs w:val="18"/>
    </w:rPr>
  </w:style>
  <w:style w:type="table" w:customStyle="1" w:styleId="Tablaconcuadrcula1">
    <w:name w:val="Tabla con cuadrícula1"/>
    <w:basedOn w:val="Tablanormal"/>
    <w:next w:val="Tablaconcuadrcula"/>
    <w:uiPriority w:val="59"/>
    <w:rsid w:val="00F11A33"/>
    <w:pPr>
      <w:widowControl/>
    </w:pPr>
    <w:rPr>
      <w:rFonts w:ascii="Calibri" w:eastAsia="Calibri" w:hAnsi="Calibr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F11A33"/>
    <w:pPr>
      <w:widowControl/>
    </w:pPr>
    <w:rPr>
      <w:rFonts w:ascii="Calibri" w:eastAsia="Calibri" w:hAnsi="Calibr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
    <w:name w:val="Sin lista1"/>
    <w:next w:val="Sinlista"/>
    <w:uiPriority w:val="99"/>
    <w:semiHidden/>
    <w:unhideWhenUsed/>
    <w:rsid w:val="00F11A33"/>
  </w:style>
  <w:style w:type="numbering" w:customStyle="1" w:styleId="Estilo11">
    <w:name w:val="Estilo11"/>
    <w:uiPriority w:val="99"/>
    <w:rsid w:val="00F11A33"/>
  </w:style>
  <w:style w:type="table" w:customStyle="1" w:styleId="Tablaconcuadrcula3">
    <w:name w:val="Tabla con cuadrícula3"/>
    <w:basedOn w:val="Tablanormal"/>
    <w:next w:val="Tablaconcuadrcula"/>
    <w:uiPriority w:val="59"/>
    <w:rsid w:val="00F11A33"/>
    <w:pPr>
      <w:widowControl/>
    </w:pPr>
    <w:rPr>
      <w:rFonts w:ascii="Calibri" w:eastAsia="Calibri" w:hAnsi="Calibr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
    <w:name w:val="Sin lista2"/>
    <w:next w:val="Sinlista"/>
    <w:uiPriority w:val="99"/>
    <w:semiHidden/>
    <w:unhideWhenUsed/>
    <w:rsid w:val="00F11A33"/>
  </w:style>
  <w:style w:type="numbering" w:customStyle="1" w:styleId="Estilo12">
    <w:name w:val="Estilo12"/>
    <w:uiPriority w:val="99"/>
    <w:rsid w:val="00F11A33"/>
  </w:style>
  <w:style w:type="table" w:customStyle="1" w:styleId="Tablaconcuadrcula4">
    <w:name w:val="Tabla con cuadrícula4"/>
    <w:basedOn w:val="Tablanormal"/>
    <w:next w:val="Tablaconcuadrcula"/>
    <w:uiPriority w:val="59"/>
    <w:rsid w:val="00F11A33"/>
    <w:pPr>
      <w:widowControl/>
    </w:pPr>
    <w:rPr>
      <w:rFonts w:ascii="Calibri" w:eastAsia="Calibri" w:hAnsi="Calibr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39"/>
    <w:rsid w:val="00F11A33"/>
    <w:pPr>
      <w:widowControl/>
    </w:pPr>
    <w:rPr>
      <w:rFonts w:ascii="Calibri" w:eastAsia="Calibri" w:hAnsi="Calibri"/>
      <w:lang w:val="es-4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F11A33"/>
    <w:pPr>
      <w:widowControl/>
    </w:pPr>
    <w:rPr>
      <w:rFonts w:ascii="Calibri" w:eastAsia="Calibri" w:hAnsi="Calibr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1"/>
    <w:tblPr>
      <w:tblStyleRowBandSize w:val="1"/>
      <w:tblStyleColBandSize w:val="1"/>
    </w:tblPr>
  </w:style>
  <w:style w:type="table" w:customStyle="1" w:styleId="a0">
    <w:basedOn w:val="TableNormal1"/>
    <w:tblPr>
      <w:tblStyleRowBandSize w:val="1"/>
      <w:tblStyleColBandSize w:val="1"/>
    </w:tblPr>
  </w:style>
  <w:style w:type="table" w:customStyle="1" w:styleId="a1">
    <w:basedOn w:val="TableNormal1"/>
    <w:tblPr>
      <w:tblStyleRowBandSize w:val="1"/>
      <w:tblStyleColBandSize w:val="1"/>
    </w:tblPr>
  </w:style>
  <w:style w:type="table" w:customStyle="1" w:styleId="a2">
    <w:basedOn w:val="TableNormal1"/>
    <w:tblPr>
      <w:tblStyleRowBandSize w:val="1"/>
      <w:tblStyleColBandSize w:val="1"/>
    </w:tblPr>
  </w:style>
  <w:style w:type="table" w:customStyle="1" w:styleId="a3">
    <w:basedOn w:val="TableNormal1"/>
    <w:tblPr>
      <w:tblStyleRowBandSize w:val="1"/>
      <w:tblStyleColBandSize w:val="1"/>
    </w:tblPr>
  </w:style>
  <w:style w:type="table" w:customStyle="1" w:styleId="a4">
    <w:basedOn w:val="TableNormal1"/>
    <w:tblPr>
      <w:tblStyleRowBandSize w:val="1"/>
      <w:tblStyleColBandSize w:val="1"/>
    </w:tblPr>
  </w:style>
  <w:style w:type="table" w:customStyle="1" w:styleId="a5">
    <w:basedOn w:val="TableNormal1"/>
    <w:tblPr>
      <w:tblStyleRowBandSize w:val="1"/>
      <w:tblStyleColBandSize w:val="1"/>
      <w:tblCellMar>
        <w:left w:w="70" w:type="dxa"/>
        <w:right w:w="70" w:type="dxa"/>
      </w:tblCellMar>
    </w:tblPr>
  </w:style>
  <w:style w:type="table" w:customStyle="1" w:styleId="a6">
    <w:basedOn w:val="TableNormal1"/>
    <w:tblPr>
      <w:tblStyleRowBandSize w:val="1"/>
      <w:tblStyleColBandSize w:val="1"/>
    </w:tblPr>
  </w:style>
  <w:style w:type="table" w:customStyle="1" w:styleId="a7">
    <w:basedOn w:val="TableNormal1"/>
    <w:tblPr>
      <w:tblStyleRowBandSize w:val="1"/>
      <w:tblStyleColBandSize w:val="1"/>
    </w:tblPr>
  </w:style>
  <w:style w:type="table" w:customStyle="1" w:styleId="a8">
    <w:basedOn w:val="TableNormal1"/>
    <w:pPr>
      <w:widowControl/>
    </w:pPr>
    <w:rPr>
      <w:rFonts w:ascii="Calibri" w:eastAsia="Calibri" w:hAnsi="Calibri" w:cs="Calibri"/>
    </w:rPr>
    <w:tblPr>
      <w:tblStyleRowBandSize w:val="1"/>
      <w:tblStyleColBandSize w:val="1"/>
      <w:tblCellMar>
        <w:left w:w="108" w:type="dxa"/>
        <w:right w:w="108" w:type="dxa"/>
      </w:tblCellMar>
    </w:tblPr>
  </w:style>
  <w:style w:type="table" w:customStyle="1" w:styleId="a9">
    <w:basedOn w:val="TableNormal1"/>
    <w:tblPr>
      <w:tblStyleRowBandSize w:val="1"/>
      <w:tblStyleColBandSize w:val="1"/>
      <w:tblCellMar>
        <w:left w:w="70" w:type="dxa"/>
        <w:right w:w="70" w:type="dxa"/>
      </w:tblCellMar>
    </w:tblPr>
  </w:style>
  <w:style w:type="table" w:customStyle="1" w:styleId="aa">
    <w:basedOn w:val="TableNormal1"/>
    <w:pPr>
      <w:widowControl/>
    </w:pPr>
    <w:rPr>
      <w:rFonts w:ascii="Calibri" w:eastAsia="Calibri" w:hAnsi="Calibri" w:cs="Calibri"/>
    </w:rPr>
    <w:tblPr>
      <w:tblStyleRowBandSize w:val="1"/>
      <w:tblStyleColBandSize w:val="1"/>
      <w:tblCellMar>
        <w:left w:w="108" w:type="dxa"/>
        <w:right w:w="108" w:type="dxa"/>
      </w:tblCellMar>
    </w:tblPr>
  </w:style>
  <w:style w:type="table" w:customStyle="1" w:styleId="ab">
    <w:basedOn w:val="TableNormal1"/>
    <w:pPr>
      <w:widowControl/>
    </w:pPr>
    <w:rPr>
      <w:rFonts w:ascii="Calibri" w:eastAsia="Calibri" w:hAnsi="Calibri" w:cs="Calibri"/>
    </w:rPr>
    <w:tblPr>
      <w:tblStyleRowBandSize w:val="1"/>
      <w:tblStyleColBandSize w:val="1"/>
      <w:tblCellMar>
        <w:left w:w="108" w:type="dxa"/>
        <w:right w:w="108" w:type="dxa"/>
      </w:tblCellMar>
    </w:tblPr>
  </w:style>
  <w:style w:type="table" w:customStyle="1" w:styleId="ac">
    <w:basedOn w:val="TableNormal1"/>
    <w:pPr>
      <w:widowControl/>
    </w:pPr>
    <w:rPr>
      <w:rFonts w:ascii="Calibri" w:eastAsia="Calibri" w:hAnsi="Calibri" w:cs="Calibri"/>
    </w:rPr>
    <w:tblPr>
      <w:tblStyleRowBandSize w:val="1"/>
      <w:tblStyleColBandSize w:val="1"/>
      <w:tblCellMar>
        <w:left w:w="108" w:type="dxa"/>
        <w:right w:w="108" w:type="dxa"/>
      </w:tblCellMar>
    </w:tblPr>
  </w:style>
  <w:style w:type="table" w:customStyle="1" w:styleId="ad">
    <w:basedOn w:val="TableNormal1"/>
    <w:tblPr>
      <w:tblStyleRowBandSize w:val="1"/>
      <w:tblStyleColBandSize w:val="1"/>
      <w:tblCellMar>
        <w:left w:w="115" w:type="dxa"/>
        <w:right w:w="115" w:type="dxa"/>
      </w:tblCellMar>
    </w:tblPr>
  </w:style>
  <w:style w:type="table" w:customStyle="1" w:styleId="ae">
    <w:basedOn w:val="TableNormal1"/>
    <w:pPr>
      <w:widowControl/>
    </w:pPr>
    <w:tblPr>
      <w:tblStyleRowBandSize w:val="1"/>
      <w:tblStyleColBandSize w:val="1"/>
      <w:tblCellMar>
        <w:left w:w="108" w:type="dxa"/>
        <w:right w:w="108" w:type="dxa"/>
      </w:tblCellMar>
    </w:tblPr>
    <w:tblStylePr w:type="firstRow">
      <w:rPr>
        <w:b/>
      </w:rPr>
    </w:tblStylePr>
    <w:tblStylePr w:type="lastRow">
      <w:rPr>
        <w:b/>
      </w:rPr>
    </w:tblStylePr>
    <w:tblStylePr w:type="firstCol">
      <w:rPr>
        <w:b/>
      </w:rPr>
    </w:tblStylePr>
    <w:tblStylePr w:type="lastCol">
      <w:rPr>
        <w:b/>
      </w:rPr>
    </w:tblStylePr>
    <w:tblStylePr w:type="band1Vert">
      <w:tblPr/>
      <w:tcPr>
        <w:shd w:val="clear" w:color="auto" w:fill="EBF1DD"/>
      </w:tcPr>
    </w:tblStylePr>
    <w:tblStylePr w:type="band1Horz">
      <w:tblPr/>
      <w:tcPr>
        <w:shd w:val="clear" w:color="auto" w:fill="EBF1DD"/>
      </w:tcPr>
    </w:tblStylePr>
  </w:style>
  <w:style w:type="table" w:customStyle="1" w:styleId="af">
    <w:basedOn w:val="TableNormal1"/>
    <w:tblPr>
      <w:tblStyleRowBandSize w:val="1"/>
      <w:tblStyleColBandSize w:val="1"/>
      <w:tblCellMar>
        <w:left w:w="70" w:type="dxa"/>
        <w:right w:w="70" w:type="dxa"/>
      </w:tblCellMar>
    </w:tblPr>
  </w:style>
  <w:style w:type="table" w:customStyle="1" w:styleId="af0">
    <w:basedOn w:val="TableNormal1"/>
    <w:tblPr>
      <w:tblStyleRowBandSize w:val="1"/>
      <w:tblStyleColBandSize w:val="1"/>
      <w:tblCellMar>
        <w:left w:w="70" w:type="dxa"/>
        <w:right w:w="70" w:type="dxa"/>
      </w:tblCellMar>
    </w:tblPr>
  </w:style>
  <w:style w:type="table" w:customStyle="1" w:styleId="af1">
    <w:basedOn w:val="TableNormal1"/>
    <w:tblPr>
      <w:tblStyleRowBandSize w:val="1"/>
      <w:tblStyleColBandSize w:val="1"/>
    </w:tblPr>
  </w:style>
  <w:style w:type="table" w:customStyle="1" w:styleId="af2">
    <w:basedOn w:val="TableNormal1"/>
    <w:tblPr>
      <w:tblStyleRowBandSize w:val="1"/>
      <w:tblStyleColBandSize w:val="1"/>
      <w:tblCellMar>
        <w:left w:w="70" w:type="dxa"/>
        <w:right w:w="70" w:type="dxa"/>
      </w:tblCellMar>
    </w:tblPr>
  </w:style>
  <w:style w:type="table" w:customStyle="1" w:styleId="af3">
    <w:basedOn w:val="TableNormal1"/>
    <w:tblPr>
      <w:tblStyleRowBandSize w:val="1"/>
      <w:tblStyleColBandSize w:val="1"/>
    </w:tblPr>
  </w:style>
  <w:style w:type="table" w:customStyle="1" w:styleId="af4">
    <w:basedOn w:val="TableNormal1"/>
    <w:tblPr>
      <w:tblStyleRowBandSize w:val="1"/>
      <w:tblStyleColBandSize w:val="1"/>
    </w:tblPr>
  </w:style>
  <w:style w:type="table" w:customStyle="1" w:styleId="af5">
    <w:basedOn w:val="TableNormal1"/>
    <w:tblPr>
      <w:tblStyleRowBandSize w:val="1"/>
      <w:tblStyleColBandSize w:val="1"/>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6">
    <w:basedOn w:val="TableNormal0"/>
    <w:tblPr>
      <w:tblStyleRowBandSize w:val="1"/>
      <w:tblStyleColBandSize w:val="1"/>
      <w:tblCellMar>
        <w:top w:w="0" w:type="dxa"/>
        <w:left w:w="0" w:type="dxa"/>
        <w:bottom w:w="0" w:type="dxa"/>
        <w:right w:w="0" w:type="dxa"/>
      </w:tblCellMar>
    </w:tblPr>
  </w:style>
  <w:style w:type="table" w:customStyle="1" w:styleId="af7">
    <w:basedOn w:val="TableNormal0"/>
    <w:tblPr>
      <w:tblStyleRowBandSize w:val="1"/>
      <w:tblStyleColBandSize w:val="1"/>
      <w:tblCellMar>
        <w:top w:w="0" w:type="dxa"/>
        <w:left w:w="0" w:type="dxa"/>
        <w:bottom w:w="0" w:type="dxa"/>
        <w:right w:w="0" w:type="dxa"/>
      </w:tblCellMar>
    </w:tblPr>
  </w:style>
  <w:style w:type="table" w:customStyle="1" w:styleId="af8">
    <w:basedOn w:val="TableNormal0"/>
    <w:tblPr>
      <w:tblStyleRowBandSize w:val="1"/>
      <w:tblStyleColBandSize w:val="1"/>
      <w:tblCellMar>
        <w:top w:w="0" w:type="dxa"/>
        <w:left w:w="0" w:type="dxa"/>
        <w:bottom w:w="0" w:type="dxa"/>
        <w:right w:w="0" w:type="dxa"/>
      </w:tblCellMar>
    </w:tblPr>
  </w:style>
  <w:style w:type="table" w:customStyle="1" w:styleId="af9">
    <w:basedOn w:val="TableNormal0"/>
    <w:tblPr>
      <w:tblStyleRowBandSize w:val="1"/>
      <w:tblStyleColBandSize w:val="1"/>
      <w:tblCellMar>
        <w:top w:w="0" w:type="dxa"/>
        <w:left w:w="0" w:type="dxa"/>
        <w:bottom w:w="0" w:type="dxa"/>
        <w:right w:w="0" w:type="dxa"/>
      </w:tblCellMar>
    </w:tblPr>
  </w:style>
  <w:style w:type="table" w:customStyle="1" w:styleId="afa">
    <w:basedOn w:val="TableNormal0"/>
    <w:tblPr>
      <w:tblStyleRowBandSize w:val="1"/>
      <w:tblStyleColBandSize w:val="1"/>
      <w:tblCellMar>
        <w:top w:w="0" w:type="dxa"/>
        <w:left w:w="0" w:type="dxa"/>
        <w:bottom w:w="0" w:type="dxa"/>
        <w:right w:w="0" w:type="dxa"/>
      </w:tblCellMar>
    </w:tblPr>
  </w:style>
  <w:style w:type="table" w:customStyle="1" w:styleId="afb">
    <w:basedOn w:val="TableNormal0"/>
    <w:tblPr>
      <w:tblStyleRowBandSize w:val="1"/>
      <w:tblStyleColBandSize w:val="1"/>
      <w:tblCellMar>
        <w:top w:w="0" w:type="dxa"/>
        <w:left w:w="70" w:type="dxa"/>
        <w:bottom w:w="0" w:type="dxa"/>
        <w:right w:w="70" w:type="dxa"/>
      </w:tblCellMar>
    </w:tblPr>
  </w:style>
  <w:style w:type="table" w:customStyle="1" w:styleId="afc">
    <w:basedOn w:val="TableNormal0"/>
    <w:pPr>
      <w:widowControl/>
    </w:pPr>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fd">
    <w:basedOn w:val="TableNormal0"/>
    <w:tblPr>
      <w:tblStyleRowBandSize w:val="1"/>
      <w:tblStyleColBandSize w:val="1"/>
      <w:tblCellMar>
        <w:top w:w="0" w:type="dxa"/>
        <w:left w:w="70" w:type="dxa"/>
        <w:bottom w:w="0" w:type="dxa"/>
        <w:right w:w="70" w:type="dxa"/>
      </w:tblCellMar>
    </w:tblPr>
  </w:style>
  <w:style w:type="table" w:customStyle="1" w:styleId="afe">
    <w:basedOn w:val="TableNormal0"/>
    <w:pPr>
      <w:widowControl/>
    </w:pPr>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ff">
    <w:basedOn w:val="TableNormal0"/>
    <w:pPr>
      <w:widowControl/>
    </w:pPr>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ff0">
    <w:basedOn w:val="TableNormal0"/>
    <w:pPr>
      <w:widowControl/>
    </w:pPr>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ff1">
    <w:basedOn w:val="TableNormal0"/>
    <w:tblPr>
      <w:tblStyleRowBandSize w:val="1"/>
      <w:tblStyleColBandSize w:val="1"/>
      <w:tblCellMar>
        <w:top w:w="0" w:type="dxa"/>
        <w:left w:w="115" w:type="dxa"/>
        <w:bottom w:w="0" w:type="dxa"/>
        <w:right w:w="115" w:type="dxa"/>
      </w:tblCellMar>
    </w:tblPr>
  </w:style>
  <w:style w:type="table" w:customStyle="1" w:styleId="aff2">
    <w:basedOn w:val="TableNormal0"/>
    <w:pPr>
      <w:widowControl/>
    </w:pPr>
    <w:tblPr>
      <w:tblStyleRowBandSize w:val="1"/>
      <w:tblStyleColBandSize w:val="1"/>
      <w:tblCellMar>
        <w:top w:w="0" w:type="dxa"/>
        <w:left w:w="108" w:type="dxa"/>
        <w:bottom w:w="0" w:type="dxa"/>
        <w:right w:w="108" w:type="dxa"/>
      </w:tblCellMar>
    </w:tblPr>
    <w:tblStylePr w:type="firstRow">
      <w:rPr>
        <w:b/>
      </w:rPr>
    </w:tblStylePr>
    <w:tblStylePr w:type="lastRow">
      <w:rPr>
        <w:b/>
      </w:rPr>
    </w:tblStylePr>
    <w:tblStylePr w:type="firstCol">
      <w:rPr>
        <w:b/>
      </w:rPr>
    </w:tblStylePr>
    <w:tblStylePr w:type="lastCol">
      <w:rPr>
        <w:b/>
      </w:rPr>
    </w:tblStylePr>
    <w:tblStylePr w:type="band1Vert">
      <w:tblPr/>
      <w:tcPr>
        <w:shd w:val="clear" w:color="auto" w:fill="EBF1DD"/>
      </w:tcPr>
    </w:tblStylePr>
    <w:tblStylePr w:type="band1Horz">
      <w:tblPr/>
      <w:tcPr>
        <w:shd w:val="clear" w:color="auto" w:fill="EBF1DD"/>
      </w:tcPr>
    </w:tblStylePr>
  </w:style>
  <w:style w:type="table" w:customStyle="1" w:styleId="aff3">
    <w:basedOn w:val="TableNormal0"/>
    <w:tblPr>
      <w:tblStyleRowBandSize w:val="1"/>
      <w:tblStyleColBandSize w:val="1"/>
      <w:tblCellMar>
        <w:top w:w="0" w:type="dxa"/>
        <w:left w:w="70" w:type="dxa"/>
        <w:bottom w:w="0" w:type="dxa"/>
        <w:right w:w="70" w:type="dxa"/>
      </w:tblCellMar>
    </w:tblPr>
  </w:style>
  <w:style w:type="table" w:customStyle="1" w:styleId="aff4">
    <w:basedOn w:val="TableNormal0"/>
    <w:tblPr>
      <w:tblStyleRowBandSize w:val="1"/>
      <w:tblStyleColBandSize w:val="1"/>
      <w:tblCellMar>
        <w:top w:w="0" w:type="dxa"/>
        <w:left w:w="70" w:type="dxa"/>
        <w:bottom w:w="0" w:type="dxa"/>
        <w:right w:w="70" w:type="dxa"/>
      </w:tblCellMar>
    </w:tblPr>
  </w:style>
  <w:style w:type="table" w:customStyle="1" w:styleId="aff5">
    <w:basedOn w:val="TableNormal0"/>
    <w:tblPr>
      <w:tblStyleRowBandSize w:val="1"/>
      <w:tblStyleColBandSize w:val="1"/>
      <w:tblCellMar>
        <w:top w:w="0" w:type="dxa"/>
        <w:left w:w="0" w:type="dxa"/>
        <w:bottom w:w="0" w:type="dxa"/>
        <w:right w:w="0" w:type="dxa"/>
      </w:tblCellMar>
    </w:tblPr>
  </w:style>
  <w:style w:type="table" w:customStyle="1" w:styleId="aff6">
    <w:basedOn w:val="TableNormal0"/>
    <w:tblPr>
      <w:tblStyleRowBandSize w:val="1"/>
      <w:tblStyleColBandSize w:val="1"/>
      <w:tblCellMar>
        <w:top w:w="0" w:type="dxa"/>
        <w:left w:w="70" w:type="dxa"/>
        <w:bottom w:w="0" w:type="dxa"/>
        <w:right w:w="70" w:type="dxa"/>
      </w:tblCellMar>
    </w:tblPr>
  </w:style>
  <w:style w:type="table" w:customStyle="1" w:styleId="aff7">
    <w:basedOn w:val="TableNormal0"/>
    <w:tblPr>
      <w:tblStyleRowBandSize w:val="1"/>
      <w:tblStyleColBandSize w:val="1"/>
      <w:tblCellMar>
        <w:top w:w="0" w:type="dxa"/>
        <w:left w:w="0" w:type="dxa"/>
        <w:bottom w:w="0" w:type="dxa"/>
        <w:right w:w="0" w:type="dxa"/>
      </w:tblCellMar>
    </w:tblPr>
  </w:style>
  <w:style w:type="table" w:customStyle="1" w:styleId="aff8">
    <w:basedOn w:val="TableNormal0"/>
    <w:tblPr>
      <w:tblStyleRowBandSize w:val="1"/>
      <w:tblStyleColBandSize w:val="1"/>
      <w:tblCellMar>
        <w:top w:w="0" w:type="dxa"/>
        <w:left w:w="0" w:type="dxa"/>
        <w:bottom w:w="0" w:type="dxa"/>
        <w:right w:w="0" w:type="dxa"/>
      </w:tblCellMar>
    </w:tblPr>
  </w:style>
  <w:style w:type="table" w:customStyle="1" w:styleId="aff9">
    <w:basedOn w:val="TableNormal0"/>
    <w:tblPr>
      <w:tblStyleRowBandSize w:val="1"/>
      <w:tblStyleColBandSize w:val="1"/>
      <w:tblCellMar>
        <w:top w:w="0" w:type="dxa"/>
        <w:left w:w="0" w:type="dxa"/>
        <w:bottom w:w="0" w:type="dxa"/>
        <w:right w:w="0" w:type="dxa"/>
      </w:tblCellMar>
    </w:tblPr>
  </w:style>
  <w:style w:type="character" w:customStyle="1" w:styleId="whitespace-normal">
    <w:name w:val="whitespace-normal"/>
    <w:basedOn w:val="Fuentedeprrafopredeter"/>
    <w:rsid w:val="00143F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4739">
      <w:bodyDiv w:val="1"/>
      <w:marLeft w:val="0"/>
      <w:marRight w:val="0"/>
      <w:marTop w:val="0"/>
      <w:marBottom w:val="0"/>
      <w:divBdr>
        <w:top w:val="none" w:sz="0" w:space="0" w:color="auto"/>
        <w:left w:val="none" w:sz="0" w:space="0" w:color="auto"/>
        <w:bottom w:val="none" w:sz="0" w:space="0" w:color="auto"/>
        <w:right w:val="none" w:sz="0" w:space="0" w:color="auto"/>
      </w:divBdr>
    </w:div>
    <w:div w:id="111367458">
      <w:bodyDiv w:val="1"/>
      <w:marLeft w:val="0"/>
      <w:marRight w:val="0"/>
      <w:marTop w:val="0"/>
      <w:marBottom w:val="0"/>
      <w:divBdr>
        <w:top w:val="none" w:sz="0" w:space="0" w:color="auto"/>
        <w:left w:val="none" w:sz="0" w:space="0" w:color="auto"/>
        <w:bottom w:val="none" w:sz="0" w:space="0" w:color="auto"/>
        <w:right w:val="none" w:sz="0" w:space="0" w:color="auto"/>
      </w:divBdr>
    </w:div>
    <w:div w:id="207643909">
      <w:bodyDiv w:val="1"/>
      <w:marLeft w:val="0"/>
      <w:marRight w:val="0"/>
      <w:marTop w:val="0"/>
      <w:marBottom w:val="0"/>
      <w:divBdr>
        <w:top w:val="none" w:sz="0" w:space="0" w:color="auto"/>
        <w:left w:val="none" w:sz="0" w:space="0" w:color="auto"/>
        <w:bottom w:val="none" w:sz="0" w:space="0" w:color="auto"/>
        <w:right w:val="none" w:sz="0" w:space="0" w:color="auto"/>
      </w:divBdr>
    </w:div>
    <w:div w:id="225575142">
      <w:bodyDiv w:val="1"/>
      <w:marLeft w:val="0"/>
      <w:marRight w:val="0"/>
      <w:marTop w:val="0"/>
      <w:marBottom w:val="0"/>
      <w:divBdr>
        <w:top w:val="none" w:sz="0" w:space="0" w:color="auto"/>
        <w:left w:val="none" w:sz="0" w:space="0" w:color="auto"/>
        <w:bottom w:val="none" w:sz="0" w:space="0" w:color="auto"/>
        <w:right w:val="none" w:sz="0" w:space="0" w:color="auto"/>
      </w:divBdr>
    </w:div>
    <w:div w:id="242758929">
      <w:bodyDiv w:val="1"/>
      <w:marLeft w:val="0"/>
      <w:marRight w:val="0"/>
      <w:marTop w:val="0"/>
      <w:marBottom w:val="0"/>
      <w:divBdr>
        <w:top w:val="none" w:sz="0" w:space="0" w:color="auto"/>
        <w:left w:val="none" w:sz="0" w:space="0" w:color="auto"/>
        <w:bottom w:val="none" w:sz="0" w:space="0" w:color="auto"/>
        <w:right w:val="none" w:sz="0" w:space="0" w:color="auto"/>
      </w:divBdr>
    </w:div>
    <w:div w:id="251358463">
      <w:bodyDiv w:val="1"/>
      <w:marLeft w:val="0"/>
      <w:marRight w:val="0"/>
      <w:marTop w:val="0"/>
      <w:marBottom w:val="0"/>
      <w:divBdr>
        <w:top w:val="none" w:sz="0" w:space="0" w:color="auto"/>
        <w:left w:val="none" w:sz="0" w:space="0" w:color="auto"/>
        <w:bottom w:val="none" w:sz="0" w:space="0" w:color="auto"/>
        <w:right w:val="none" w:sz="0" w:space="0" w:color="auto"/>
      </w:divBdr>
    </w:div>
    <w:div w:id="520440040">
      <w:bodyDiv w:val="1"/>
      <w:marLeft w:val="0"/>
      <w:marRight w:val="0"/>
      <w:marTop w:val="0"/>
      <w:marBottom w:val="0"/>
      <w:divBdr>
        <w:top w:val="none" w:sz="0" w:space="0" w:color="auto"/>
        <w:left w:val="none" w:sz="0" w:space="0" w:color="auto"/>
        <w:bottom w:val="none" w:sz="0" w:space="0" w:color="auto"/>
        <w:right w:val="none" w:sz="0" w:space="0" w:color="auto"/>
      </w:divBdr>
      <w:divsChild>
        <w:div w:id="2130853416">
          <w:marLeft w:val="0"/>
          <w:marRight w:val="0"/>
          <w:marTop w:val="0"/>
          <w:marBottom w:val="0"/>
          <w:divBdr>
            <w:top w:val="none" w:sz="0" w:space="0" w:color="auto"/>
            <w:left w:val="none" w:sz="0" w:space="0" w:color="auto"/>
            <w:bottom w:val="none" w:sz="0" w:space="0" w:color="auto"/>
            <w:right w:val="none" w:sz="0" w:space="0" w:color="auto"/>
          </w:divBdr>
          <w:divsChild>
            <w:div w:id="1330475303">
              <w:marLeft w:val="0"/>
              <w:marRight w:val="0"/>
              <w:marTop w:val="0"/>
              <w:marBottom w:val="0"/>
              <w:divBdr>
                <w:top w:val="none" w:sz="0" w:space="0" w:color="auto"/>
                <w:left w:val="none" w:sz="0" w:space="0" w:color="auto"/>
                <w:bottom w:val="none" w:sz="0" w:space="0" w:color="auto"/>
                <w:right w:val="none" w:sz="0" w:space="0" w:color="auto"/>
              </w:divBdr>
              <w:divsChild>
                <w:div w:id="535387455">
                  <w:marLeft w:val="0"/>
                  <w:marRight w:val="0"/>
                  <w:marTop w:val="0"/>
                  <w:marBottom w:val="0"/>
                  <w:divBdr>
                    <w:top w:val="none" w:sz="0" w:space="0" w:color="auto"/>
                    <w:left w:val="none" w:sz="0" w:space="0" w:color="auto"/>
                    <w:bottom w:val="none" w:sz="0" w:space="0" w:color="auto"/>
                    <w:right w:val="none" w:sz="0" w:space="0" w:color="auto"/>
                  </w:divBdr>
                  <w:divsChild>
                    <w:div w:id="1412895823">
                      <w:marLeft w:val="0"/>
                      <w:marRight w:val="0"/>
                      <w:marTop w:val="0"/>
                      <w:marBottom w:val="0"/>
                      <w:divBdr>
                        <w:top w:val="none" w:sz="0" w:space="0" w:color="auto"/>
                        <w:left w:val="none" w:sz="0" w:space="0" w:color="auto"/>
                        <w:bottom w:val="none" w:sz="0" w:space="0" w:color="auto"/>
                        <w:right w:val="none" w:sz="0" w:space="0" w:color="auto"/>
                      </w:divBdr>
                      <w:divsChild>
                        <w:div w:id="1579513022">
                          <w:marLeft w:val="0"/>
                          <w:marRight w:val="0"/>
                          <w:marTop w:val="0"/>
                          <w:marBottom w:val="0"/>
                          <w:divBdr>
                            <w:top w:val="none" w:sz="0" w:space="0" w:color="auto"/>
                            <w:left w:val="none" w:sz="0" w:space="0" w:color="auto"/>
                            <w:bottom w:val="none" w:sz="0" w:space="0" w:color="auto"/>
                            <w:right w:val="none" w:sz="0" w:space="0" w:color="auto"/>
                          </w:divBdr>
                          <w:divsChild>
                            <w:div w:id="166601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8054071">
      <w:bodyDiv w:val="1"/>
      <w:marLeft w:val="0"/>
      <w:marRight w:val="0"/>
      <w:marTop w:val="0"/>
      <w:marBottom w:val="0"/>
      <w:divBdr>
        <w:top w:val="none" w:sz="0" w:space="0" w:color="auto"/>
        <w:left w:val="none" w:sz="0" w:space="0" w:color="auto"/>
        <w:bottom w:val="none" w:sz="0" w:space="0" w:color="auto"/>
        <w:right w:val="none" w:sz="0" w:space="0" w:color="auto"/>
      </w:divBdr>
    </w:div>
    <w:div w:id="609052380">
      <w:bodyDiv w:val="1"/>
      <w:marLeft w:val="0"/>
      <w:marRight w:val="0"/>
      <w:marTop w:val="0"/>
      <w:marBottom w:val="0"/>
      <w:divBdr>
        <w:top w:val="none" w:sz="0" w:space="0" w:color="auto"/>
        <w:left w:val="none" w:sz="0" w:space="0" w:color="auto"/>
        <w:bottom w:val="none" w:sz="0" w:space="0" w:color="auto"/>
        <w:right w:val="none" w:sz="0" w:space="0" w:color="auto"/>
      </w:divBdr>
    </w:div>
    <w:div w:id="640427354">
      <w:bodyDiv w:val="1"/>
      <w:marLeft w:val="0"/>
      <w:marRight w:val="0"/>
      <w:marTop w:val="0"/>
      <w:marBottom w:val="0"/>
      <w:divBdr>
        <w:top w:val="none" w:sz="0" w:space="0" w:color="auto"/>
        <w:left w:val="none" w:sz="0" w:space="0" w:color="auto"/>
        <w:bottom w:val="none" w:sz="0" w:space="0" w:color="auto"/>
        <w:right w:val="none" w:sz="0" w:space="0" w:color="auto"/>
      </w:divBdr>
    </w:div>
    <w:div w:id="656417365">
      <w:bodyDiv w:val="1"/>
      <w:marLeft w:val="0"/>
      <w:marRight w:val="0"/>
      <w:marTop w:val="0"/>
      <w:marBottom w:val="0"/>
      <w:divBdr>
        <w:top w:val="none" w:sz="0" w:space="0" w:color="auto"/>
        <w:left w:val="none" w:sz="0" w:space="0" w:color="auto"/>
        <w:bottom w:val="none" w:sz="0" w:space="0" w:color="auto"/>
        <w:right w:val="none" w:sz="0" w:space="0" w:color="auto"/>
      </w:divBdr>
    </w:div>
    <w:div w:id="709766933">
      <w:bodyDiv w:val="1"/>
      <w:marLeft w:val="0"/>
      <w:marRight w:val="0"/>
      <w:marTop w:val="0"/>
      <w:marBottom w:val="0"/>
      <w:divBdr>
        <w:top w:val="none" w:sz="0" w:space="0" w:color="auto"/>
        <w:left w:val="none" w:sz="0" w:space="0" w:color="auto"/>
        <w:bottom w:val="none" w:sz="0" w:space="0" w:color="auto"/>
        <w:right w:val="none" w:sz="0" w:space="0" w:color="auto"/>
      </w:divBdr>
      <w:divsChild>
        <w:div w:id="948783564">
          <w:marLeft w:val="0"/>
          <w:marRight w:val="0"/>
          <w:marTop w:val="0"/>
          <w:marBottom w:val="0"/>
          <w:divBdr>
            <w:top w:val="none" w:sz="0" w:space="0" w:color="auto"/>
            <w:left w:val="none" w:sz="0" w:space="0" w:color="auto"/>
            <w:bottom w:val="none" w:sz="0" w:space="0" w:color="auto"/>
            <w:right w:val="none" w:sz="0" w:space="0" w:color="auto"/>
          </w:divBdr>
          <w:divsChild>
            <w:div w:id="1754475808">
              <w:marLeft w:val="0"/>
              <w:marRight w:val="0"/>
              <w:marTop w:val="0"/>
              <w:marBottom w:val="0"/>
              <w:divBdr>
                <w:top w:val="none" w:sz="0" w:space="0" w:color="auto"/>
                <w:left w:val="none" w:sz="0" w:space="0" w:color="auto"/>
                <w:bottom w:val="none" w:sz="0" w:space="0" w:color="auto"/>
                <w:right w:val="none" w:sz="0" w:space="0" w:color="auto"/>
              </w:divBdr>
              <w:divsChild>
                <w:div w:id="1362433495">
                  <w:marLeft w:val="0"/>
                  <w:marRight w:val="0"/>
                  <w:marTop w:val="0"/>
                  <w:marBottom w:val="0"/>
                  <w:divBdr>
                    <w:top w:val="none" w:sz="0" w:space="0" w:color="auto"/>
                    <w:left w:val="none" w:sz="0" w:space="0" w:color="auto"/>
                    <w:bottom w:val="none" w:sz="0" w:space="0" w:color="auto"/>
                    <w:right w:val="none" w:sz="0" w:space="0" w:color="auto"/>
                  </w:divBdr>
                  <w:divsChild>
                    <w:div w:id="329217094">
                      <w:marLeft w:val="0"/>
                      <w:marRight w:val="0"/>
                      <w:marTop w:val="0"/>
                      <w:marBottom w:val="0"/>
                      <w:divBdr>
                        <w:top w:val="none" w:sz="0" w:space="0" w:color="auto"/>
                        <w:left w:val="none" w:sz="0" w:space="0" w:color="auto"/>
                        <w:bottom w:val="none" w:sz="0" w:space="0" w:color="auto"/>
                        <w:right w:val="none" w:sz="0" w:space="0" w:color="auto"/>
                      </w:divBdr>
                      <w:divsChild>
                        <w:div w:id="160967743">
                          <w:marLeft w:val="0"/>
                          <w:marRight w:val="0"/>
                          <w:marTop w:val="0"/>
                          <w:marBottom w:val="0"/>
                          <w:divBdr>
                            <w:top w:val="none" w:sz="0" w:space="0" w:color="auto"/>
                            <w:left w:val="none" w:sz="0" w:space="0" w:color="auto"/>
                            <w:bottom w:val="none" w:sz="0" w:space="0" w:color="auto"/>
                            <w:right w:val="none" w:sz="0" w:space="0" w:color="auto"/>
                          </w:divBdr>
                          <w:divsChild>
                            <w:div w:id="179536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7066323">
      <w:bodyDiv w:val="1"/>
      <w:marLeft w:val="0"/>
      <w:marRight w:val="0"/>
      <w:marTop w:val="0"/>
      <w:marBottom w:val="0"/>
      <w:divBdr>
        <w:top w:val="none" w:sz="0" w:space="0" w:color="auto"/>
        <w:left w:val="none" w:sz="0" w:space="0" w:color="auto"/>
        <w:bottom w:val="none" w:sz="0" w:space="0" w:color="auto"/>
        <w:right w:val="none" w:sz="0" w:space="0" w:color="auto"/>
      </w:divBdr>
    </w:div>
    <w:div w:id="807091363">
      <w:bodyDiv w:val="1"/>
      <w:marLeft w:val="0"/>
      <w:marRight w:val="0"/>
      <w:marTop w:val="0"/>
      <w:marBottom w:val="0"/>
      <w:divBdr>
        <w:top w:val="none" w:sz="0" w:space="0" w:color="auto"/>
        <w:left w:val="none" w:sz="0" w:space="0" w:color="auto"/>
        <w:bottom w:val="none" w:sz="0" w:space="0" w:color="auto"/>
        <w:right w:val="none" w:sz="0" w:space="0" w:color="auto"/>
      </w:divBdr>
    </w:div>
    <w:div w:id="905384221">
      <w:bodyDiv w:val="1"/>
      <w:marLeft w:val="0"/>
      <w:marRight w:val="0"/>
      <w:marTop w:val="0"/>
      <w:marBottom w:val="0"/>
      <w:divBdr>
        <w:top w:val="none" w:sz="0" w:space="0" w:color="auto"/>
        <w:left w:val="none" w:sz="0" w:space="0" w:color="auto"/>
        <w:bottom w:val="none" w:sz="0" w:space="0" w:color="auto"/>
        <w:right w:val="none" w:sz="0" w:space="0" w:color="auto"/>
      </w:divBdr>
    </w:div>
    <w:div w:id="922840418">
      <w:bodyDiv w:val="1"/>
      <w:marLeft w:val="0"/>
      <w:marRight w:val="0"/>
      <w:marTop w:val="0"/>
      <w:marBottom w:val="0"/>
      <w:divBdr>
        <w:top w:val="none" w:sz="0" w:space="0" w:color="auto"/>
        <w:left w:val="none" w:sz="0" w:space="0" w:color="auto"/>
        <w:bottom w:val="none" w:sz="0" w:space="0" w:color="auto"/>
        <w:right w:val="none" w:sz="0" w:space="0" w:color="auto"/>
      </w:divBdr>
    </w:div>
    <w:div w:id="942225165">
      <w:bodyDiv w:val="1"/>
      <w:marLeft w:val="0"/>
      <w:marRight w:val="0"/>
      <w:marTop w:val="0"/>
      <w:marBottom w:val="0"/>
      <w:divBdr>
        <w:top w:val="none" w:sz="0" w:space="0" w:color="auto"/>
        <w:left w:val="none" w:sz="0" w:space="0" w:color="auto"/>
        <w:bottom w:val="none" w:sz="0" w:space="0" w:color="auto"/>
        <w:right w:val="none" w:sz="0" w:space="0" w:color="auto"/>
      </w:divBdr>
    </w:div>
    <w:div w:id="1142576366">
      <w:bodyDiv w:val="1"/>
      <w:marLeft w:val="0"/>
      <w:marRight w:val="0"/>
      <w:marTop w:val="0"/>
      <w:marBottom w:val="0"/>
      <w:divBdr>
        <w:top w:val="none" w:sz="0" w:space="0" w:color="auto"/>
        <w:left w:val="none" w:sz="0" w:space="0" w:color="auto"/>
        <w:bottom w:val="none" w:sz="0" w:space="0" w:color="auto"/>
        <w:right w:val="none" w:sz="0" w:space="0" w:color="auto"/>
      </w:divBdr>
    </w:div>
    <w:div w:id="1206287296">
      <w:bodyDiv w:val="1"/>
      <w:marLeft w:val="0"/>
      <w:marRight w:val="0"/>
      <w:marTop w:val="0"/>
      <w:marBottom w:val="0"/>
      <w:divBdr>
        <w:top w:val="none" w:sz="0" w:space="0" w:color="auto"/>
        <w:left w:val="none" w:sz="0" w:space="0" w:color="auto"/>
        <w:bottom w:val="none" w:sz="0" w:space="0" w:color="auto"/>
        <w:right w:val="none" w:sz="0" w:space="0" w:color="auto"/>
      </w:divBdr>
    </w:div>
    <w:div w:id="1267227339">
      <w:bodyDiv w:val="1"/>
      <w:marLeft w:val="0"/>
      <w:marRight w:val="0"/>
      <w:marTop w:val="0"/>
      <w:marBottom w:val="0"/>
      <w:divBdr>
        <w:top w:val="none" w:sz="0" w:space="0" w:color="auto"/>
        <w:left w:val="none" w:sz="0" w:space="0" w:color="auto"/>
        <w:bottom w:val="none" w:sz="0" w:space="0" w:color="auto"/>
        <w:right w:val="none" w:sz="0" w:space="0" w:color="auto"/>
      </w:divBdr>
    </w:div>
    <w:div w:id="1336687958">
      <w:bodyDiv w:val="1"/>
      <w:marLeft w:val="0"/>
      <w:marRight w:val="0"/>
      <w:marTop w:val="0"/>
      <w:marBottom w:val="0"/>
      <w:divBdr>
        <w:top w:val="none" w:sz="0" w:space="0" w:color="auto"/>
        <w:left w:val="none" w:sz="0" w:space="0" w:color="auto"/>
        <w:bottom w:val="none" w:sz="0" w:space="0" w:color="auto"/>
        <w:right w:val="none" w:sz="0" w:space="0" w:color="auto"/>
      </w:divBdr>
    </w:div>
    <w:div w:id="1358431385">
      <w:bodyDiv w:val="1"/>
      <w:marLeft w:val="0"/>
      <w:marRight w:val="0"/>
      <w:marTop w:val="0"/>
      <w:marBottom w:val="0"/>
      <w:divBdr>
        <w:top w:val="none" w:sz="0" w:space="0" w:color="auto"/>
        <w:left w:val="none" w:sz="0" w:space="0" w:color="auto"/>
        <w:bottom w:val="none" w:sz="0" w:space="0" w:color="auto"/>
        <w:right w:val="none" w:sz="0" w:space="0" w:color="auto"/>
      </w:divBdr>
    </w:div>
    <w:div w:id="1476533290">
      <w:bodyDiv w:val="1"/>
      <w:marLeft w:val="0"/>
      <w:marRight w:val="0"/>
      <w:marTop w:val="0"/>
      <w:marBottom w:val="0"/>
      <w:divBdr>
        <w:top w:val="none" w:sz="0" w:space="0" w:color="auto"/>
        <w:left w:val="none" w:sz="0" w:space="0" w:color="auto"/>
        <w:bottom w:val="none" w:sz="0" w:space="0" w:color="auto"/>
        <w:right w:val="none" w:sz="0" w:space="0" w:color="auto"/>
      </w:divBdr>
    </w:div>
    <w:div w:id="1581284310">
      <w:bodyDiv w:val="1"/>
      <w:marLeft w:val="0"/>
      <w:marRight w:val="0"/>
      <w:marTop w:val="0"/>
      <w:marBottom w:val="0"/>
      <w:divBdr>
        <w:top w:val="none" w:sz="0" w:space="0" w:color="auto"/>
        <w:left w:val="none" w:sz="0" w:space="0" w:color="auto"/>
        <w:bottom w:val="none" w:sz="0" w:space="0" w:color="auto"/>
        <w:right w:val="none" w:sz="0" w:space="0" w:color="auto"/>
      </w:divBdr>
    </w:div>
    <w:div w:id="1663852314">
      <w:bodyDiv w:val="1"/>
      <w:marLeft w:val="0"/>
      <w:marRight w:val="0"/>
      <w:marTop w:val="0"/>
      <w:marBottom w:val="0"/>
      <w:divBdr>
        <w:top w:val="none" w:sz="0" w:space="0" w:color="auto"/>
        <w:left w:val="none" w:sz="0" w:space="0" w:color="auto"/>
        <w:bottom w:val="none" w:sz="0" w:space="0" w:color="auto"/>
        <w:right w:val="none" w:sz="0" w:space="0" w:color="auto"/>
      </w:divBdr>
    </w:div>
    <w:div w:id="1721129102">
      <w:bodyDiv w:val="1"/>
      <w:marLeft w:val="0"/>
      <w:marRight w:val="0"/>
      <w:marTop w:val="0"/>
      <w:marBottom w:val="0"/>
      <w:divBdr>
        <w:top w:val="none" w:sz="0" w:space="0" w:color="auto"/>
        <w:left w:val="none" w:sz="0" w:space="0" w:color="auto"/>
        <w:bottom w:val="none" w:sz="0" w:space="0" w:color="auto"/>
        <w:right w:val="none" w:sz="0" w:space="0" w:color="auto"/>
      </w:divBdr>
    </w:div>
    <w:div w:id="1725906199">
      <w:bodyDiv w:val="1"/>
      <w:marLeft w:val="0"/>
      <w:marRight w:val="0"/>
      <w:marTop w:val="0"/>
      <w:marBottom w:val="0"/>
      <w:divBdr>
        <w:top w:val="none" w:sz="0" w:space="0" w:color="auto"/>
        <w:left w:val="none" w:sz="0" w:space="0" w:color="auto"/>
        <w:bottom w:val="none" w:sz="0" w:space="0" w:color="auto"/>
        <w:right w:val="none" w:sz="0" w:space="0" w:color="auto"/>
      </w:divBdr>
    </w:div>
    <w:div w:id="1739984228">
      <w:bodyDiv w:val="1"/>
      <w:marLeft w:val="0"/>
      <w:marRight w:val="0"/>
      <w:marTop w:val="0"/>
      <w:marBottom w:val="0"/>
      <w:divBdr>
        <w:top w:val="none" w:sz="0" w:space="0" w:color="auto"/>
        <w:left w:val="none" w:sz="0" w:space="0" w:color="auto"/>
        <w:bottom w:val="none" w:sz="0" w:space="0" w:color="auto"/>
        <w:right w:val="none" w:sz="0" w:space="0" w:color="auto"/>
      </w:divBdr>
    </w:div>
    <w:div w:id="1862235797">
      <w:bodyDiv w:val="1"/>
      <w:marLeft w:val="0"/>
      <w:marRight w:val="0"/>
      <w:marTop w:val="0"/>
      <w:marBottom w:val="0"/>
      <w:divBdr>
        <w:top w:val="none" w:sz="0" w:space="0" w:color="auto"/>
        <w:left w:val="none" w:sz="0" w:space="0" w:color="auto"/>
        <w:bottom w:val="none" w:sz="0" w:space="0" w:color="auto"/>
        <w:right w:val="none" w:sz="0" w:space="0" w:color="auto"/>
      </w:divBdr>
    </w:div>
    <w:div w:id="1870993407">
      <w:bodyDiv w:val="1"/>
      <w:marLeft w:val="0"/>
      <w:marRight w:val="0"/>
      <w:marTop w:val="0"/>
      <w:marBottom w:val="0"/>
      <w:divBdr>
        <w:top w:val="none" w:sz="0" w:space="0" w:color="auto"/>
        <w:left w:val="none" w:sz="0" w:space="0" w:color="auto"/>
        <w:bottom w:val="none" w:sz="0" w:space="0" w:color="auto"/>
        <w:right w:val="none" w:sz="0" w:space="0" w:color="auto"/>
      </w:divBdr>
    </w:div>
    <w:div w:id="1875380309">
      <w:bodyDiv w:val="1"/>
      <w:marLeft w:val="0"/>
      <w:marRight w:val="0"/>
      <w:marTop w:val="0"/>
      <w:marBottom w:val="0"/>
      <w:divBdr>
        <w:top w:val="none" w:sz="0" w:space="0" w:color="auto"/>
        <w:left w:val="none" w:sz="0" w:space="0" w:color="auto"/>
        <w:bottom w:val="none" w:sz="0" w:space="0" w:color="auto"/>
        <w:right w:val="none" w:sz="0" w:space="0" w:color="auto"/>
      </w:divBdr>
    </w:div>
    <w:div w:id="2010939190">
      <w:bodyDiv w:val="1"/>
      <w:marLeft w:val="0"/>
      <w:marRight w:val="0"/>
      <w:marTop w:val="0"/>
      <w:marBottom w:val="0"/>
      <w:divBdr>
        <w:top w:val="none" w:sz="0" w:space="0" w:color="auto"/>
        <w:left w:val="none" w:sz="0" w:space="0" w:color="auto"/>
        <w:bottom w:val="none" w:sz="0" w:space="0" w:color="auto"/>
        <w:right w:val="none" w:sz="0" w:space="0" w:color="auto"/>
      </w:divBdr>
    </w:div>
    <w:div w:id="2026907373">
      <w:bodyDiv w:val="1"/>
      <w:marLeft w:val="0"/>
      <w:marRight w:val="0"/>
      <w:marTop w:val="0"/>
      <w:marBottom w:val="0"/>
      <w:divBdr>
        <w:top w:val="none" w:sz="0" w:space="0" w:color="auto"/>
        <w:left w:val="none" w:sz="0" w:space="0" w:color="auto"/>
        <w:bottom w:val="none" w:sz="0" w:space="0" w:color="auto"/>
        <w:right w:val="none" w:sz="0" w:space="0" w:color="auto"/>
      </w:divBdr>
    </w:div>
    <w:div w:id="2094551357">
      <w:bodyDiv w:val="1"/>
      <w:marLeft w:val="0"/>
      <w:marRight w:val="0"/>
      <w:marTop w:val="0"/>
      <w:marBottom w:val="0"/>
      <w:divBdr>
        <w:top w:val="none" w:sz="0" w:space="0" w:color="auto"/>
        <w:left w:val="none" w:sz="0" w:space="0" w:color="auto"/>
        <w:bottom w:val="none" w:sz="0" w:space="0" w:color="auto"/>
        <w:right w:val="none" w:sz="0" w:space="0" w:color="auto"/>
      </w:divBdr>
    </w:div>
    <w:div w:id="21347880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lcaldiabogota.gov.co/sisjur/normas/Norma1.jsp?i=67098&amp;2" TargetMode="External"/><Relationship Id="rId18" Type="http://schemas.openxmlformats.org/officeDocument/2006/relationships/hyperlink" Target="http://www.colombiacompra.gov.co/lista-de-acuerdos-marco" TargetMode="External"/><Relationship Id="rId26"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yperlink" Target="mailto:correspondencia@veeduriadistrital.gov.co" TargetMode="External"/><Relationship Id="rId7" Type="http://schemas.openxmlformats.org/officeDocument/2006/relationships/settings" Target="settings.xml"/><Relationship Id="rId12" Type="http://schemas.openxmlformats.org/officeDocument/2006/relationships/hyperlink" Target="https://www.alcaldiabogota.gov.co/sisjur/normas/Norma1.jsp?i=84666&amp;11" TargetMode="External"/><Relationship Id="rId17" Type="http://schemas.openxmlformats.org/officeDocument/2006/relationships/hyperlink" Target="https://www.alcaldiabogota.gov.co/sisjur/normas/Norma1.jsp?i=9027&amp;0" TargetMode="External"/><Relationship Id="rId25" Type="http://schemas.openxmlformats.org/officeDocument/2006/relationships/image" Target="media/image2.jpg"/><Relationship Id="rId2" Type="http://schemas.openxmlformats.org/officeDocument/2006/relationships/customXml" Target="../customXml/item2.xml"/><Relationship Id="rId16" Type="http://schemas.openxmlformats.org/officeDocument/2006/relationships/hyperlink" Target="https://www.alcaldiabogota.gov.co/sisjur/normas/Norma1.jsp?i=88448&amp;12" TargetMode="External"/><Relationship Id="rId20" Type="http://schemas.openxmlformats.org/officeDocument/2006/relationships/hyperlink" Target="https://www.superfinanciera.gov.co/publicacion/60819"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9027&amp;40" TargetMode="External"/><Relationship Id="rId24"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alcaldiabogota.gov.co/sisjur/normas/Norma1.jsp?i=88448&amp;11.l.b" TargetMode="External"/><Relationship Id="rId23" Type="http://schemas.openxmlformats.org/officeDocument/2006/relationships/hyperlink" Target="mailto:transparencia@presidencia.gov.co"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colombiacompra.gov.co/secop-ii/indisponibilidad-en-el-secop-i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lcaldiabogota.gov.co/sisjur/normas/Norma1.jsp?i=84666&amp;6" TargetMode="External"/><Relationship Id="rId22" Type="http://schemas.openxmlformats.org/officeDocument/2006/relationships/hyperlink" Target="mailto:denuncie@veeduriadistrital.gov.co" TargetMode="External"/><Relationship Id="rId27" Type="http://schemas.openxmlformats.org/officeDocument/2006/relationships/header" Target="head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14.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dici_x00f3_n xmlns="67ae1635-7cf6-4967-bf43-54f936c832e8" xsi:nil="true"/>
    <lcf76f155ced4ddcb4097134ff3c332f xmlns="67ae1635-7cf6-4967-bf43-54f936c832e8">
      <Terms xmlns="http://schemas.microsoft.com/office/infopath/2007/PartnerControls"/>
    </lcf76f155ced4ddcb4097134ff3c332f>
    <_Flow_SignoffStatus xmlns="67ae1635-7cf6-4967-bf43-54f936c832e8" xsi:nil="true"/>
    <TaxCatchAll xmlns="f70d6925-5891-4b80-8091-fb9b9ba1923c" xsi:nil="true"/>
  </documentManagement>
</p:properti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6YEOIN/LWdOmmO88Ty9Yt7VGKQ==">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</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D4624D0BB820C54ABDC6F037BAC55DCE" ma:contentTypeVersion="21" ma:contentTypeDescription="Crear nuevo documento." ma:contentTypeScope="" ma:versionID="f601782c98f004f76478e84348190e8f">
  <xsd:schema xmlns:xsd="http://www.w3.org/2001/XMLSchema" xmlns:xs="http://www.w3.org/2001/XMLSchema" xmlns:p="http://schemas.microsoft.com/office/2006/metadata/properties" xmlns:ns2="67ae1635-7cf6-4967-bf43-54f936c832e8" xmlns:ns3="f70d6925-5891-4b80-8091-fb9b9ba1923c" targetNamespace="http://schemas.microsoft.com/office/2006/metadata/properties" ma:root="true" ma:fieldsID="629ecf3593370bb5e213590b643120d1" ns2:_="" ns3:_="">
    <xsd:import namespace="67ae1635-7cf6-4967-bf43-54f936c832e8"/>
    <xsd:import namespace="f70d6925-5891-4b80-8091-fb9b9ba192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AutoKeyPoints" minOccurs="0"/>
                <xsd:element ref="ns2:MediaServiceKeyPoint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element ref="ns2:Edici_x00f3_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e1635-7cf6-4967-bf43-54f936c83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Estado de aprobación" ma:internalName="Estado_x0020_de_x0020_aprobaci_x00f3_n">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Edici_x00f3_n" ma:index="27" nillable="true" ma:displayName="Edición" ma:format="Dropdown" ma:internalName="Edici_x00f3_n">
      <xsd:simpleType>
        <xsd:restriction base="dms:Text">
          <xsd:maxLength value="255"/>
        </xsd:restrictio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0d6925-5891-4b80-8091-fb9b9ba1923c"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c147b537-e170-468e-92c5-b8a7c5ceffe0}" ma:internalName="TaxCatchAll" ma:showField="CatchAllData" ma:web="f70d6925-5891-4b80-8091-fb9b9ba192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08A778-F4EB-4AEB-9E5F-63089C1BE5C0}">
  <ds:schemaRefs>
    <ds:schemaRef ds:uri="http://schemas.microsoft.com/office/2006/metadata/properties"/>
    <ds:schemaRef ds:uri="http://schemas.microsoft.com/office/infopath/2007/PartnerControls"/>
    <ds:schemaRef ds:uri="67ae1635-7cf6-4967-bf43-54f936c832e8"/>
    <ds:schemaRef ds:uri="f70d6925-5891-4b80-8091-fb9b9ba1923c"/>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9F61FE4-DF21-4737-BA3C-E3571F85BC89}">
  <ds:schemaRefs>
    <ds:schemaRef ds:uri="http://schemas.microsoft.com/sharepoint/v3/contenttype/forms"/>
  </ds:schemaRefs>
</ds:datastoreItem>
</file>

<file path=customXml/itemProps4.xml><?xml version="1.0" encoding="utf-8"?>
<ds:datastoreItem xmlns:ds="http://schemas.openxmlformats.org/officeDocument/2006/customXml" ds:itemID="{277BFE41-098A-4CD5-A0A2-7191F7A170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e1635-7cf6-4967-bf43-54f936c832e8"/>
    <ds:schemaRef ds:uri="f70d6925-5891-4b80-8091-fb9b9ba19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95</Pages>
  <Words>37679</Words>
  <Characters>207238</Characters>
  <Application>Microsoft Office Word</Application>
  <DocSecurity>0</DocSecurity>
  <Lines>1726</Lines>
  <Paragraphs>488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SCASTRO</dc:creator>
  <cp:lastModifiedBy>DIEGO CABALLERO ROJAS</cp:lastModifiedBy>
  <cp:revision>82</cp:revision>
  <dcterms:created xsi:type="dcterms:W3CDTF">2025-08-29T13:32:00Z</dcterms:created>
  <dcterms:modified xsi:type="dcterms:W3CDTF">2026-04-28T00:47:00Z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2025-07-31T00:00:00Z</vt:filetime>
  </property>
  <property fmtid="{D5CDD505-2E9C-101B-9397-08002B2CF9AE}" pid="3" name="Creator">
    <vt:lpwstr>Microsoft® Word 2021</vt:lpwstr>
  </property>
  <property fmtid="{D5CDD505-2E9C-101B-9397-08002B2CF9AE}" pid="4" name="LastSaved">
    <vt:filetime>2025-08-29T00:00:00Z</vt:filetime>
  </property>
  <property fmtid="{D5CDD505-2E9C-101B-9397-08002B2CF9AE}" pid="5" name="Producer">
    <vt:lpwstr>Microsoft® Word 2021</vt:lpwstr>
  </property>
  <property fmtid="{D5CDD505-2E9C-101B-9397-08002B2CF9AE}" pid="6" name="ContentTypeId">
    <vt:lpwstr>0x010100D4624D0BB820C54ABDC6F037BAC55DCE</vt:lpwstr>
  </property>
</Properties>
</file>